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69D58" w14:textId="7E8B3D20" w:rsidR="00B02E6B" w:rsidRPr="00B02E6B" w:rsidRDefault="00B02E6B" w:rsidP="00AD4AD6">
      <w:pPr>
        <w:shd w:val="clear" w:color="auto" w:fill="FFFFFF"/>
        <w:spacing w:before="0" w:after="0"/>
        <w:jc w:val="left"/>
        <w:outlineLvl w:val="3"/>
        <w:rPr>
          <w:rFonts w:eastAsia="Times New Roman" w:cs="Times New Roman"/>
          <w:szCs w:val="24"/>
          <w:lang w:eastAsia="et-EE"/>
        </w:rPr>
      </w:pPr>
      <w:r w:rsidRPr="00B02E6B">
        <w:rPr>
          <w:rFonts w:eastAsia="Times New Roman" w:cs="Times New Roman"/>
          <w:szCs w:val="24"/>
          <w:lang w:eastAsia="et-EE"/>
        </w:rPr>
        <w:t>Justiits- ja Digiministeerium</w:t>
      </w:r>
      <w:r w:rsidR="00EE3954">
        <w:rPr>
          <w:rFonts w:eastAsia="Times New Roman" w:cs="Times New Roman"/>
          <w:szCs w:val="24"/>
          <w:lang w:eastAsia="et-EE"/>
        </w:rPr>
        <w:tab/>
      </w:r>
      <w:r w:rsidR="00EE3954">
        <w:rPr>
          <w:rFonts w:eastAsia="Times New Roman" w:cs="Times New Roman"/>
          <w:szCs w:val="24"/>
          <w:lang w:eastAsia="et-EE"/>
        </w:rPr>
        <w:tab/>
      </w:r>
      <w:r w:rsidR="00EE3954">
        <w:rPr>
          <w:rFonts w:eastAsia="Times New Roman" w:cs="Times New Roman"/>
          <w:szCs w:val="24"/>
          <w:lang w:eastAsia="et-EE"/>
        </w:rPr>
        <w:tab/>
      </w:r>
      <w:r w:rsidR="00EE3954">
        <w:rPr>
          <w:rFonts w:eastAsia="Times New Roman" w:cs="Times New Roman"/>
          <w:szCs w:val="24"/>
          <w:lang w:eastAsia="et-EE"/>
        </w:rPr>
        <w:tab/>
      </w:r>
      <w:r w:rsidR="00EE3954">
        <w:rPr>
          <w:rFonts w:eastAsia="Times New Roman" w:cs="Times New Roman"/>
          <w:szCs w:val="24"/>
          <w:lang w:eastAsia="et-EE"/>
        </w:rPr>
        <w:tab/>
      </w:r>
      <w:r w:rsidR="00EE3954">
        <w:rPr>
          <w:rFonts w:eastAsia="Times New Roman" w:cs="Times New Roman"/>
          <w:szCs w:val="24"/>
          <w:lang w:eastAsia="et-EE"/>
        </w:rPr>
        <w:tab/>
      </w:r>
      <w:r w:rsidR="00EE3954">
        <w:rPr>
          <w:rFonts w:eastAsia="Times New Roman" w:cs="Times New Roman"/>
          <w:szCs w:val="24"/>
          <w:lang w:eastAsia="et-EE"/>
        </w:rPr>
        <w:tab/>
      </w:r>
      <w:r w:rsidR="00EE3954">
        <w:rPr>
          <w:rFonts w:eastAsia="Times New Roman" w:cs="Times New Roman"/>
          <w:szCs w:val="24"/>
          <w:lang w:eastAsia="et-EE"/>
        </w:rPr>
        <w:tab/>
      </w:r>
    </w:p>
    <w:p w14:paraId="561F1E92" w14:textId="77777777" w:rsidR="00B02E6B" w:rsidRPr="00B02E6B" w:rsidRDefault="00B02E6B" w:rsidP="00AD4AD6">
      <w:pPr>
        <w:shd w:val="clear" w:color="auto" w:fill="FFFFFF"/>
        <w:spacing w:before="0" w:after="0"/>
        <w:jc w:val="left"/>
        <w:rPr>
          <w:rFonts w:eastAsia="Times New Roman" w:cs="Times New Roman"/>
          <w:color w:val="003087"/>
          <w:szCs w:val="24"/>
          <w:lang w:eastAsia="et-EE"/>
        </w:rPr>
      </w:pPr>
      <w:r w:rsidRPr="00B02E6B">
        <w:rPr>
          <w:rFonts w:eastAsia="Times New Roman" w:cs="Times New Roman"/>
          <w:color w:val="000000"/>
          <w:szCs w:val="24"/>
          <w:lang w:eastAsia="et-EE"/>
        </w:rPr>
        <w:t>Suur-Ameerika 1, 10122 Tallinn</w:t>
      </w:r>
    </w:p>
    <w:p w14:paraId="02E4AC92" w14:textId="77777777" w:rsidR="00B02E6B" w:rsidRPr="00B02E6B" w:rsidRDefault="00B02E6B" w:rsidP="00AD4AD6">
      <w:pPr>
        <w:spacing w:before="0" w:after="0"/>
        <w:rPr>
          <w:rFonts w:eastAsia="Calibri" w:cs="Times New Roman"/>
        </w:rPr>
      </w:pPr>
      <w:hyperlink r:id="rId11" w:history="1">
        <w:r w:rsidRPr="00B02E6B">
          <w:rPr>
            <w:rFonts w:eastAsia="Calibri" w:cs="Times New Roman"/>
            <w:color w:val="003087"/>
            <w:u w:val="single"/>
            <w:shd w:val="clear" w:color="auto" w:fill="FFFFFF"/>
          </w:rPr>
          <w:t>info@justdigi.ee</w:t>
        </w:r>
      </w:hyperlink>
    </w:p>
    <w:p w14:paraId="19BD153D" w14:textId="77777777" w:rsidR="00B02E6B" w:rsidRPr="00B02E6B" w:rsidRDefault="00B02E6B" w:rsidP="00AD4AD6">
      <w:pPr>
        <w:spacing w:before="0" w:after="0"/>
        <w:rPr>
          <w:rFonts w:eastAsia="Calibri" w:cs="Times New Roman"/>
        </w:rPr>
      </w:pPr>
    </w:p>
    <w:p w14:paraId="05E4817C" w14:textId="77777777" w:rsidR="00B02E6B" w:rsidRPr="00B02E6B" w:rsidRDefault="00B02E6B" w:rsidP="00AD4AD6">
      <w:pPr>
        <w:spacing w:before="0" w:after="0"/>
        <w:rPr>
          <w:rFonts w:eastAsia="Aptos" w:cs="Times New Roman"/>
          <w:b/>
          <w:kern w:val="2"/>
          <w:szCs w:val="24"/>
          <w14:ligatures w14:val="standardContextual"/>
        </w:rPr>
      </w:pPr>
      <w:r w:rsidRPr="00B02E6B">
        <w:rPr>
          <w:rFonts w:eastAsia="Aptos" w:cs="Times New Roman"/>
          <w:b/>
          <w:kern w:val="2"/>
          <w:szCs w:val="24"/>
          <w14:ligatures w14:val="standardContextual"/>
        </w:rPr>
        <w:t>Justiitshalduspoliitika osakond</w:t>
      </w:r>
    </w:p>
    <w:p w14:paraId="2A481EA2" w14:textId="77777777" w:rsidR="00B02E6B" w:rsidRDefault="00B02E6B" w:rsidP="00B02E6B">
      <w:pPr>
        <w:spacing w:before="0" w:after="0" w:line="276" w:lineRule="auto"/>
        <w:rPr>
          <w:rFonts w:eastAsia="Aptos" w:cs="Times New Roman"/>
          <w:bCs/>
          <w:kern w:val="2"/>
          <w:szCs w:val="24"/>
          <w14:ligatures w14:val="standardContextual"/>
        </w:rPr>
      </w:pPr>
    </w:p>
    <w:p w14:paraId="08A9DAB3" w14:textId="77777777" w:rsidR="00AD4AD6" w:rsidRDefault="00AD4AD6" w:rsidP="00B02E6B">
      <w:pPr>
        <w:spacing w:before="0" w:after="0" w:line="276" w:lineRule="auto"/>
        <w:rPr>
          <w:rFonts w:eastAsia="Aptos" w:cs="Times New Roman"/>
          <w:bCs/>
          <w:kern w:val="2"/>
          <w:szCs w:val="24"/>
          <w14:ligatures w14:val="standardContextual"/>
        </w:rPr>
      </w:pPr>
    </w:p>
    <w:p w14:paraId="2F26E49D" w14:textId="77777777" w:rsidR="00AD4AD6" w:rsidRPr="00A74AEE" w:rsidRDefault="00AD4AD6" w:rsidP="00A74AEE">
      <w:pPr>
        <w:spacing w:before="0" w:after="0"/>
        <w:rPr>
          <w:rFonts w:eastAsia="Aptos" w:cs="Times New Roman"/>
          <w:bCs/>
          <w:kern w:val="2"/>
          <w:szCs w:val="24"/>
          <w14:ligatures w14:val="standardContextual"/>
        </w:rPr>
      </w:pPr>
    </w:p>
    <w:p w14:paraId="7684841E" w14:textId="47E5CC79" w:rsidR="00B02E6B" w:rsidRDefault="00B02E6B" w:rsidP="00A74AEE">
      <w:pPr>
        <w:spacing w:before="0" w:after="0"/>
        <w:rPr>
          <w:rFonts w:eastAsia="Aptos" w:cs="Times New Roman"/>
          <w:bCs/>
          <w:kern w:val="2"/>
          <w:szCs w:val="24"/>
          <w14:ligatures w14:val="standardContextual"/>
        </w:rPr>
      </w:pPr>
      <w:r w:rsidRPr="00A74AEE">
        <w:rPr>
          <w:rFonts w:eastAsia="Aptos" w:cs="Times New Roman"/>
          <w:bCs/>
          <w:kern w:val="2"/>
          <w:szCs w:val="24"/>
          <w14:ligatures w14:val="standardContextual"/>
        </w:rPr>
        <w:t xml:space="preserve">Kohtujuristide </w:t>
      </w:r>
      <w:r w:rsidR="00192A3F" w:rsidRPr="00A74AEE">
        <w:rPr>
          <w:rFonts w:eastAsia="Aptos" w:cs="Times New Roman"/>
          <w:bCs/>
          <w:kern w:val="2"/>
          <w:szCs w:val="24"/>
          <w14:ligatures w14:val="standardContextual"/>
        </w:rPr>
        <w:t>seisukoht</w:t>
      </w:r>
      <w:r w:rsidRPr="00A74AEE">
        <w:rPr>
          <w:rFonts w:eastAsia="Aptos" w:cs="Times New Roman"/>
          <w:bCs/>
          <w:kern w:val="2"/>
          <w:szCs w:val="24"/>
          <w14:ligatures w14:val="standardContextual"/>
        </w:rPr>
        <w:t xml:space="preserve"> uuele kohtute seaduse muutmise eelnõule (väljatöötamisel)</w:t>
      </w:r>
    </w:p>
    <w:p w14:paraId="5B1D812A" w14:textId="77777777" w:rsidR="00A74AEE" w:rsidRPr="00A74AEE" w:rsidRDefault="00A74AEE" w:rsidP="00A74AEE">
      <w:pPr>
        <w:spacing w:before="0" w:after="0"/>
        <w:rPr>
          <w:rFonts w:eastAsia="Aptos" w:cs="Times New Roman"/>
          <w:bCs/>
          <w:kern w:val="2"/>
          <w:szCs w:val="24"/>
          <w14:ligatures w14:val="standardContextual"/>
        </w:rPr>
      </w:pPr>
    </w:p>
    <w:p w14:paraId="54CD7679" w14:textId="77777777" w:rsidR="00B02E6B" w:rsidRPr="00A74AEE" w:rsidRDefault="00B02E6B" w:rsidP="00A74AEE">
      <w:pPr>
        <w:spacing w:before="0" w:after="0"/>
        <w:rPr>
          <w:rFonts w:eastAsia="Aptos" w:cs="Times New Roman"/>
          <w:bCs/>
          <w:kern w:val="2"/>
          <w:szCs w:val="24"/>
          <w14:ligatures w14:val="standardContextual"/>
        </w:rPr>
      </w:pPr>
    </w:p>
    <w:p w14:paraId="6946E615" w14:textId="238A41C0" w:rsidR="00B02E6B" w:rsidRDefault="00B02E6B" w:rsidP="00A74AEE">
      <w:pPr>
        <w:spacing w:before="0" w:after="0"/>
        <w:rPr>
          <w:rFonts w:eastAsia="Aptos" w:cs="Times New Roman"/>
          <w:kern w:val="2"/>
          <w:szCs w:val="24"/>
          <w14:ligatures w14:val="standardContextual"/>
        </w:rPr>
      </w:pPr>
      <w:r w:rsidRPr="00A74AEE">
        <w:rPr>
          <w:rFonts w:eastAsia="Aptos" w:cs="Times New Roman"/>
          <w:bCs/>
          <w:kern w:val="2"/>
          <w:szCs w:val="24"/>
          <w14:ligatures w14:val="standardContextual"/>
        </w:rPr>
        <w:t>Uus kohtute seaduse muutmise eelnõu</w:t>
      </w:r>
      <w:r w:rsidRPr="00A74AEE">
        <w:rPr>
          <w:rFonts w:eastAsia="Aptos" w:cs="Times New Roman"/>
          <w:b/>
          <w:kern w:val="2"/>
          <w:szCs w:val="24"/>
          <w14:ligatures w14:val="standardContextual"/>
        </w:rPr>
        <w:t xml:space="preserve"> 24.10.2025</w:t>
      </w:r>
      <w:r w:rsidRPr="00A74AEE">
        <w:rPr>
          <w:rFonts w:eastAsia="Aptos" w:cs="Times New Roman"/>
          <w:bCs/>
          <w:kern w:val="2"/>
          <w:szCs w:val="24"/>
          <w14:ligatures w14:val="standardContextual"/>
        </w:rPr>
        <w:t xml:space="preserve"> p 7 - </w:t>
      </w:r>
      <w:r w:rsidRPr="00A74AEE">
        <w:rPr>
          <w:rFonts w:eastAsia="Aptos" w:cs="Times New Roman"/>
          <w:b/>
          <w:bCs/>
          <w:kern w:val="2"/>
          <w:szCs w:val="24"/>
          <w14:ligatures w14:val="standardContextual"/>
        </w:rPr>
        <w:t xml:space="preserve">kohtujuristiameti kaasajastamine: </w:t>
      </w:r>
      <w:r w:rsidRPr="00A74AEE">
        <w:rPr>
          <w:rFonts w:eastAsia="Aptos" w:cs="Times New Roman"/>
          <w:kern w:val="2"/>
          <w:szCs w:val="24"/>
          <w14:ligatures w14:val="standardContextual"/>
        </w:rPr>
        <w:t xml:space="preserve">kohtujuristide karjäärisüsteemi loomine, millega kaasneb palga lahti sidumine kohtuniku palgast, võimaldamaks palku diferentseerida. </w:t>
      </w:r>
    </w:p>
    <w:p w14:paraId="59B8C631" w14:textId="77777777" w:rsidR="00B711B6" w:rsidRPr="00A74AEE" w:rsidRDefault="00B711B6" w:rsidP="00A74AEE">
      <w:pPr>
        <w:spacing w:before="0" w:after="0"/>
        <w:rPr>
          <w:rFonts w:eastAsia="Aptos" w:cs="Times New Roman"/>
          <w:b/>
          <w:bCs/>
          <w:kern w:val="2"/>
          <w:szCs w:val="24"/>
          <w14:ligatures w14:val="standardContextual"/>
        </w:rPr>
      </w:pPr>
    </w:p>
    <w:p w14:paraId="6D91001D" w14:textId="27A492F1" w:rsidR="00B02E6B" w:rsidRPr="00A74AEE" w:rsidRDefault="00C317C9" w:rsidP="00A74AEE">
      <w:pPr>
        <w:spacing w:before="0" w:after="0"/>
        <w:jc w:val="right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05</w:t>
      </w:r>
      <w:r w:rsidR="00B02E6B" w:rsidRPr="00A74AEE">
        <w:rPr>
          <w:rFonts w:eastAsia="Calibri" w:cs="Times New Roman"/>
          <w:szCs w:val="24"/>
        </w:rPr>
        <w:t>.1</w:t>
      </w:r>
      <w:r w:rsidR="003B1CE9" w:rsidRPr="00A74AEE">
        <w:rPr>
          <w:rFonts w:eastAsia="Calibri" w:cs="Times New Roman"/>
          <w:szCs w:val="24"/>
        </w:rPr>
        <w:t>1</w:t>
      </w:r>
      <w:r w:rsidR="00B02E6B" w:rsidRPr="00A74AEE">
        <w:rPr>
          <w:rFonts w:eastAsia="Calibri" w:cs="Times New Roman"/>
          <w:szCs w:val="24"/>
        </w:rPr>
        <w:t>.2025</w:t>
      </w:r>
    </w:p>
    <w:p w14:paraId="5A1F8DA4" w14:textId="77777777" w:rsidR="00F31844" w:rsidRDefault="00F31844" w:rsidP="00A74AEE">
      <w:pPr>
        <w:spacing w:before="0" w:after="0"/>
        <w:rPr>
          <w:rFonts w:cs="Times New Roman"/>
          <w:szCs w:val="24"/>
        </w:rPr>
      </w:pPr>
    </w:p>
    <w:p w14:paraId="7D623B48" w14:textId="178E8AE1" w:rsidR="00F31844" w:rsidRPr="00A74AEE" w:rsidRDefault="00F31844" w:rsidP="00A74AEE">
      <w:pPr>
        <w:spacing w:before="0" w:after="0"/>
        <w:rPr>
          <w:rFonts w:cs="Times New Roman"/>
          <w:b/>
          <w:bCs/>
          <w:szCs w:val="24"/>
        </w:rPr>
      </w:pPr>
      <w:r w:rsidRPr="00A74AEE">
        <w:rPr>
          <w:rFonts w:cs="Times New Roman"/>
          <w:szCs w:val="24"/>
        </w:rPr>
        <w:t xml:space="preserve">Käesolevaga esitavad Harju Maakohtu kohtujuristid seisukoha eelnõu väljatöötamiskavatsuses sisalduva kavandatava muudatuse kohta, mis puudutab kohtujuristide palgakorraldust ja selle seost esimese astme kohtuniku palgaga. Peame vajalikuks pöörata Teie tähelepanu asjaolule, et </w:t>
      </w:r>
      <w:r w:rsidRPr="00A74AEE">
        <w:rPr>
          <w:rFonts w:cs="Times New Roman"/>
          <w:b/>
          <w:bCs/>
          <w:szCs w:val="24"/>
        </w:rPr>
        <w:t xml:space="preserve">kohtujuristide palgagarantii kaotamine on vastuolus </w:t>
      </w:r>
      <w:r w:rsidR="00A35E1F" w:rsidRPr="00A74AEE">
        <w:rPr>
          <w:rFonts w:cs="Times New Roman"/>
          <w:b/>
          <w:bCs/>
          <w:szCs w:val="24"/>
        </w:rPr>
        <w:t>kohtujuristide</w:t>
      </w:r>
      <w:r w:rsidRPr="00A74AEE">
        <w:rPr>
          <w:rFonts w:cs="Times New Roman"/>
          <w:b/>
          <w:bCs/>
          <w:szCs w:val="24"/>
        </w:rPr>
        <w:t xml:space="preserve"> loomise eesmärkidega ning ohustab kohtusüsteemi efektiivsust ja jätkusuutlikkust.</w:t>
      </w:r>
    </w:p>
    <w:p w14:paraId="018269A0" w14:textId="77777777" w:rsidR="00504576" w:rsidRPr="00A74AEE" w:rsidRDefault="00504576" w:rsidP="00A74AEE">
      <w:pPr>
        <w:spacing w:before="0" w:after="0"/>
        <w:rPr>
          <w:rFonts w:cs="Times New Roman"/>
          <w:b/>
          <w:bCs/>
          <w:szCs w:val="24"/>
        </w:rPr>
      </w:pPr>
    </w:p>
    <w:p w14:paraId="5D0ECA4A" w14:textId="13DDCF8B" w:rsidR="00E95D53" w:rsidRPr="00B711B6" w:rsidRDefault="00E95D53" w:rsidP="00F11E10">
      <w:pPr>
        <w:pStyle w:val="Loendilik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bCs/>
        </w:rPr>
      </w:pPr>
      <w:r w:rsidRPr="00B711B6">
        <w:rPr>
          <w:rFonts w:ascii="Times New Roman" w:hAnsi="Times New Roman" w:cs="Times New Roman"/>
          <w:b/>
          <w:bCs/>
        </w:rPr>
        <w:t>Kohtujuristi institutsiooni eesmärk ja senine positiivne mõju</w:t>
      </w:r>
    </w:p>
    <w:p w14:paraId="0619D2BB" w14:textId="77777777" w:rsidR="00B711B6" w:rsidRPr="00B711B6" w:rsidRDefault="00B711B6" w:rsidP="00B711B6">
      <w:pPr>
        <w:pStyle w:val="Loendilik"/>
        <w:spacing w:after="0"/>
        <w:rPr>
          <w:rFonts w:cs="Times New Roman"/>
          <w:b/>
          <w:bCs/>
        </w:rPr>
      </w:pPr>
    </w:p>
    <w:p w14:paraId="1B736DC6" w14:textId="6D5D868B" w:rsidR="00E95D53" w:rsidRDefault="00E95D53" w:rsidP="00A74AEE">
      <w:pPr>
        <w:spacing w:before="0" w:after="0"/>
        <w:rPr>
          <w:rFonts w:cs="Times New Roman"/>
          <w:b/>
          <w:bCs/>
          <w:kern w:val="2"/>
          <w:szCs w:val="24"/>
          <w14:ligatures w14:val="standardContextual"/>
        </w:rPr>
      </w:pPr>
      <w:r w:rsidRPr="00E95D53">
        <w:rPr>
          <w:rFonts w:cs="Times New Roman"/>
          <w:kern w:val="2"/>
          <w:szCs w:val="24"/>
          <w14:ligatures w14:val="standardContextual"/>
        </w:rPr>
        <w:t>Kohtujuristi ametikoht loodi 2012. aastal kohtute seaduse (KS) muudatusega (eelnõu 281 SE)</w:t>
      </w:r>
      <w:r w:rsidR="00A13211" w:rsidRPr="00A74AEE">
        <w:rPr>
          <w:rStyle w:val="Allmrkuseviide"/>
          <w:rFonts w:cs="Times New Roman"/>
          <w:kern w:val="2"/>
          <w:szCs w:val="24"/>
          <w14:ligatures w14:val="standardContextual"/>
        </w:rPr>
        <w:footnoteReference w:id="1"/>
      </w:r>
      <w:r w:rsidRPr="00E95D53">
        <w:rPr>
          <w:rFonts w:cs="Times New Roman"/>
          <w:kern w:val="2"/>
          <w:szCs w:val="24"/>
          <w14:ligatures w14:val="standardContextual"/>
        </w:rPr>
        <w:t xml:space="preserve">, mille </w:t>
      </w:r>
      <w:r w:rsidRPr="00E95D53">
        <w:rPr>
          <w:rFonts w:cs="Times New Roman"/>
          <w:b/>
          <w:bCs/>
          <w:kern w:val="2"/>
          <w:szCs w:val="24"/>
          <w14:ligatures w14:val="standardContextual"/>
        </w:rPr>
        <w:t>peamine eesmärk oli tõsta kohtuasja ettevalmistamisel kohtunikku abistavate kohtuametnike kvalifikatsiooni, suurendades seeläbi kohtute töökvaliteeti ja tõhustades menetlust, sh tagades mõistlikud menetlustähtajad.</w:t>
      </w:r>
    </w:p>
    <w:p w14:paraId="0421B917" w14:textId="77777777" w:rsidR="00B711B6" w:rsidRPr="00E95D53" w:rsidRDefault="00B711B6" w:rsidP="00A74AEE">
      <w:pPr>
        <w:spacing w:before="0" w:after="0"/>
        <w:rPr>
          <w:rFonts w:cs="Times New Roman"/>
          <w:kern w:val="2"/>
          <w:szCs w:val="24"/>
          <w14:ligatures w14:val="standardContextual"/>
        </w:rPr>
      </w:pPr>
    </w:p>
    <w:p w14:paraId="36470631" w14:textId="487526E7" w:rsidR="00E95D53" w:rsidRDefault="00E95D53" w:rsidP="00A74AEE">
      <w:pPr>
        <w:spacing w:before="0" w:after="0"/>
        <w:rPr>
          <w:rFonts w:cs="Times New Roman"/>
          <w:b/>
          <w:bCs/>
          <w:kern w:val="2"/>
          <w:szCs w:val="24"/>
          <w14:ligatures w14:val="standardContextual"/>
        </w:rPr>
      </w:pPr>
      <w:r w:rsidRPr="00E95D53">
        <w:rPr>
          <w:rFonts w:cs="Times New Roman"/>
          <w:kern w:val="2"/>
          <w:szCs w:val="24"/>
          <w14:ligatures w14:val="standardContextual"/>
        </w:rPr>
        <w:t>Kohtujuristi ülesandeks sai iseseisvalt kohtuasjade ettevalmistamine menetlemiseks või vastavalt kohtuniku juhendamisele, kujundades nn tugeva ametniku, kes on oma töös seaduse piires iseseisev ja sõltumatu</w:t>
      </w:r>
      <w:r w:rsidR="00E116F3">
        <w:rPr>
          <w:rFonts w:cs="Times New Roman"/>
          <w:kern w:val="2"/>
          <w:szCs w:val="24"/>
          <w14:ligatures w14:val="standardContextual"/>
        </w:rPr>
        <w:t>.</w:t>
      </w:r>
      <w:r w:rsidR="00593F7A" w:rsidRPr="00A74AEE">
        <w:rPr>
          <w:rStyle w:val="Allmrkuseviide"/>
          <w:rFonts w:cs="Times New Roman"/>
          <w:kern w:val="2"/>
          <w:szCs w:val="24"/>
          <w14:ligatures w14:val="standardContextual"/>
        </w:rPr>
        <w:footnoteReference w:id="2"/>
      </w:r>
      <w:r w:rsidRPr="00E95D53">
        <w:rPr>
          <w:rFonts w:cs="Times New Roman"/>
          <w:kern w:val="2"/>
          <w:szCs w:val="24"/>
          <w14:ligatures w14:val="standardContextual"/>
        </w:rPr>
        <w:t xml:space="preserve"> Kohtujuristides nähti ka </w:t>
      </w:r>
      <w:r w:rsidRPr="00E95D53">
        <w:rPr>
          <w:rFonts w:cs="Times New Roman"/>
          <w:b/>
          <w:bCs/>
          <w:kern w:val="2"/>
          <w:szCs w:val="24"/>
          <w14:ligatures w14:val="standardContextual"/>
        </w:rPr>
        <w:t>pikaajalist kohtunike järelkasvu tagamise allikat.</w:t>
      </w:r>
    </w:p>
    <w:p w14:paraId="01B12262" w14:textId="77777777" w:rsidR="00B711B6" w:rsidRPr="00E95D53" w:rsidRDefault="00B711B6" w:rsidP="00A74AEE">
      <w:pPr>
        <w:spacing w:before="0" w:after="0"/>
        <w:rPr>
          <w:rFonts w:cs="Times New Roman"/>
          <w:kern w:val="2"/>
          <w:szCs w:val="24"/>
          <w14:ligatures w14:val="standardContextual"/>
        </w:rPr>
      </w:pPr>
    </w:p>
    <w:p w14:paraId="5DC567A8" w14:textId="69BEC1E1" w:rsidR="00E95D53" w:rsidRPr="00E95D53" w:rsidRDefault="00E95D53" w:rsidP="00A74AEE">
      <w:pPr>
        <w:spacing w:before="0" w:after="0"/>
        <w:rPr>
          <w:rFonts w:cs="Times New Roman"/>
          <w:kern w:val="2"/>
          <w:szCs w:val="24"/>
          <w14:ligatures w14:val="standardContextual"/>
        </w:rPr>
      </w:pPr>
      <w:r w:rsidRPr="00E95D53">
        <w:rPr>
          <w:rFonts w:cs="Times New Roman"/>
          <w:kern w:val="2"/>
          <w:szCs w:val="24"/>
          <w14:ligatures w14:val="standardContextual"/>
        </w:rPr>
        <w:t xml:space="preserve">Tänaseks on selge, et kohtujuristi institutsiooni loomine on avaldanud kohtute efektiivsusele </w:t>
      </w:r>
      <w:r w:rsidRPr="00E95D53">
        <w:rPr>
          <w:rFonts w:cs="Times New Roman"/>
          <w:b/>
          <w:bCs/>
          <w:kern w:val="2"/>
          <w:szCs w:val="24"/>
          <w14:ligatures w14:val="standardContextual"/>
        </w:rPr>
        <w:t>positiivset mõju:</w:t>
      </w:r>
      <w:r w:rsidRPr="00E95D53">
        <w:rPr>
          <w:rFonts w:cs="Times New Roman"/>
          <w:kern w:val="2"/>
          <w:szCs w:val="24"/>
          <w14:ligatures w14:val="standardContextual"/>
        </w:rPr>
        <w:t xml:space="preserve"> on lühenenud menetlustähtajad ja paranenud kohtulahendite kvaliteet</w:t>
      </w:r>
      <w:r w:rsidR="002A2C93">
        <w:rPr>
          <w:rFonts w:cs="Times New Roman"/>
          <w:kern w:val="2"/>
          <w:szCs w:val="24"/>
          <w14:ligatures w14:val="standardContextual"/>
        </w:rPr>
        <w:t>.</w:t>
      </w:r>
      <w:r w:rsidR="00A2249E" w:rsidRPr="00A74AEE">
        <w:rPr>
          <w:rStyle w:val="Allmrkuseviide"/>
          <w:rFonts w:cs="Times New Roman"/>
          <w:kern w:val="2"/>
          <w:szCs w:val="24"/>
          <w14:ligatures w14:val="standardContextual"/>
        </w:rPr>
        <w:footnoteReference w:id="3"/>
      </w:r>
      <w:r w:rsidRPr="00E95D53">
        <w:rPr>
          <w:rFonts w:cs="Times New Roman"/>
          <w:kern w:val="2"/>
          <w:szCs w:val="24"/>
          <w14:ligatures w14:val="standardContextual"/>
        </w:rPr>
        <w:t xml:space="preserve"> </w:t>
      </w:r>
      <w:r w:rsidR="00CE3D11" w:rsidRPr="00A74AEE">
        <w:rPr>
          <w:rFonts w:cs="Times New Roman"/>
          <w:kern w:val="2"/>
          <w:szCs w:val="24"/>
          <w14:ligatures w14:val="standardContextual"/>
        </w:rPr>
        <w:t>Paljud</w:t>
      </w:r>
      <w:r w:rsidRPr="00E95D53">
        <w:rPr>
          <w:rFonts w:cs="Times New Roman"/>
          <w:kern w:val="2"/>
          <w:szCs w:val="24"/>
          <w14:ligatures w14:val="standardContextual"/>
        </w:rPr>
        <w:t xml:space="preserve"> kohtujuristid on nimetatud esimese astme kohtunikeks ning vähenenud on kohtunike konkursside luhtumine. Kohtujuristid on peaaegu täielikult asendanud varasemad kohtukonsultandid, kelle kvalifikatsioon oli üldjuhul madalam.</w:t>
      </w:r>
    </w:p>
    <w:p w14:paraId="00A9C72D" w14:textId="77777777" w:rsidR="00F11E10" w:rsidRDefault="00F11E10" w:rsidP="00F11E10">
      <w:pPr>
        <w:pStyle w:val="Loendilik"/>
        <w:spacing w:after="0"/>
        <w:ind w:left="0"/>
        <w:rPr>
          <w:rFonts w:ascii="Times New Roman" w:hAnsi="Times New Roman" w:cs="Times New Roman"/>
          <w:b/>
          <w:bCs/>
        </w:rPr>
      </w:pPr>
    </w:p>
    <w:p w14:paraId="63289446" w14:textId="6005F6E4" w:rsidR="00B92B8F" w:rsidRPr="00F11E10" w:rsidRDefault="00B92B8F" w:rsidP="00F11E10">
      <w:pPr>
        <w:pStyle w:val="Loendilik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bCs/>
        </w:rPr>
      </w:pPr>
      <w:r w:rsidRPr="00F11E10">
        <w:rPr>
          <w:rFonts w:ascii="Times New Roman" w:hAnsi="Times New Roman" w:cs="Times New Roman"/>
          <w:b/>
          <w:bCs/>
        </w:rPr>
        <w:t>Palgagarantii kehtestamise põhjendus ja praegune regulatsioon</w:t>
      </w:r>
    </w:p>
    <w:p w14:paraId="79C91DA1" w14:textId="77777777" w:rsidR="00B711B6" w:rsidRPr="00B92B8F" w:rsidRDefault="00B711B6" w:rsidP="00A74AEE">
      <w:pPr>
        <w:spacing w:before="0" w:after="0"/>
        <w:rPr>
          <w:rFonts w:cs="Times New Roman"/>
          <w:b/>
          <w:bCs/>
          <w:kern w:val="2"/>
          <w:szCs w:val="24"/>
          <w14:ligatures w14:val="standardContextual"/>
        </w:rPr>
      </w:pPr>
    </w:p>
    <w:p w14:paraId="26CD1F51" w14:textId="7767C378" w:rsidR="00B92B8F" w:rsidRDefault="00B92B8F" w:rsidP="00A74AEE">
      <w:pPr>
        <w:spacing w:before="0" w:after="0"/>
        <w:rPr>
          <w:rFonts w:cs="Times New Roman"/>
          <w:kern w:val="2"/>
          <w:szCs w:val="24"/>
          <w14:ligatures w14:val="standardContextual"/>
        </w:rPr>
      </w:pPr>
      <w:r w:rsidRPr="00B92B8F">
        <w:rPr>
          <w:rFonts w:cs="Times New Roman"/>
          <w:kern w:val="2"/>
          <w:szCs w:val="24"/>
          <w14:ligatures w14:val="standardContextual"/>
        </w:rPr>
        <w:t xml:space="preserve">Selleks, et </w:t>
      </w:r>
      <w:r w:rsidR="00EF59CA" w:rsidRPr="00A74AEE">
        <w:rPr>
          <w:rFonts w:cs="Times New Roman"/>
          <w:kern w:val="2"/>
          <w:szCs w:val="24"/>
          <w14:ligatures w14:val="standardContextual"/>
        </w:rPr>
        <w:t>vähendada personali voolavust kohtusüsteemis</w:t>
      </w:r>
      <w:r w:rsidRPr="00B92B8F">
        <w:rPr>
          <w:rFonts w:cs="Times New Roman"/>
          <w:kern w:val="2"/>
          <w:szCs w:val="24"/>
          <w14:ligatures w14:val="standardContextual"/>
        </w:rPr>
        <w:t xml:space="preserve"> ning </w:t>
      </w:r>
      <w:r w:rsidRPr="00B92B8F">
        <w:rPr>
          <w:rFonts w:cs="Times New Roman"/>
          <w:b/>
          <w:bCs/>
          <w:kern w:val="2"/>
          <w:szCs w:val="24"/>
          <w14:ligatures w14:val="standardContextual"/>
        </w:rPr>
        <w:t xml:space="preserve">tuua ja hoida kohtusüsteemis piisavalt kõrge kvalifikatsiooniga kohtunike </w:t>
      </w:r>
      <w:r w:rsidR="00457775" w:rsidRPr="00A74AEE">
        <w:rPr>
          <w:rFonts w:cs="Times New Roman"/>
          <w:b/>
          <w:bCs/>
          <w:kern w:val="2"/>
          <w:szCs w:val="24"/>
          <w14:ligatures w14:val="standardContextual"/>
        </w:rPr>
        <w:t>juriid</w:t>
      </w:r>
      <w:r w:rsidR="00207ADD" w:rsidRPr="00A74AEE">
        <w:rPr>
          <w:rFonts w:cs="Times New Roman"/>
          <w:b/>
          <w:bCs/>
          <w:kern w:val="2"/>
          <w:szCs w:val="24"/>
          <w14:ligatures w14:val="standardContextual"/>
        </w:rPr>
        <w:t>ilisi tugispetsialiste</w:t>
      </w:r>
      <w:r w:rsidR="00C64A02" w:rsidRPr="00A74AEE">
        <w:rPr>
          <w:rFonts w:cs="Times New Roman"/>
          <w:b/>
          <w:bCs/>
          <w:kern w:val="2"/>
          <w:szCs w:val="24"/>
          <w14:ligatures w14:val="standardContextual"/>
        </w:rPr>
        <w:t xml:space="preserve">, </w:t>
      </w:r>
      <w:r w:rsidR="00207ADD" w:rsidRPr="00A74AEE">
        <w:rPr>
          <w:rFonts w:cs="Times New Roman"/>
          <w:b/>
          <w:bCs/>
          <w:kern w:val="2"/>
          <w:szCs w:val="24"/>
          <w14:ligatures w14:val="standardContextual"/>
        </w:rPr>
        <w:t>kohtujuriste,</w:t>
      </w:r>
      <w:r w:rsidRPr="00B92B8F">
        <w:rPr>
          <w:rFonts w:cs="Times New Roman"/>
          <w:kern w:val="2"/>
          <w:szCs w:val="24"/>
          <w14:ligatures w14:val="standardContextual"/>
        </w:rPr>
        <w:t xml:space="preserve"> kehtestati kohtujuristidele seadusega </w:t>
      </w:r>
      <w:r w:rsidRPr="00B92B8F">
        <w:rPr>
          <w:rFonts w:cs="Times New Roman"/>
          <w:b/>
          <w:bCs/>
          <w:kern w:val="2"/>
          <w:szCs w:val="24"/>
          <w14:ligatures w14:val="standardContextual"/>
        </w:rPr>
        <w:t>palgagarantii</w:t>
      </w:r>
      <w:r w:rsidRPr="00B92B8F">
        <w:rPr>
          <w:rFonts w:cs="Times New Roman"/>
          <w:kern w:val="2"/>
          <w:szCs w:val="24"/>
          <w14:ligatures w14:val="standardContextual"/>
        </w:rPr>
        <w:t xml:space="preserve">, sidudes nende palga esimese astme kohtuniku palgaga. </w:t>
      </w:r>
    </w:p>
    <w:p w14:paraId="61F13145" w14:textId="77777777" w:rsidR="00B711B6" w:rsidRPr="00B92B8F" w:rsidRDefault="00B711B6" w:rsidP="00A74AEE">
      <w:pPr>
        <w:spacing w:before="0" w:after="0"/>
        <w:rPr>
          <w:rFonts w:cs="Times New Roman"/>
          <w:kern w:val="2"/>
          <w:szCs w:val="24"/>
          <w14:ligatures w14:val="standardContextual"/>
        </w:rPr>
      </w:pPr>
    </w:p>
    <w:p w14:paraId="5453A2D1" w14:textId="1C4F0AD5" w:rsidR="00AE4EB4" w:rsidRPr="00680707" w:rsidRDefault="00B92B8F" w:rsidP="00680707">
      <w:pPr>
        <w:spacing w:before="0" w:after="0"/>
        <w:rPr>
          <w:rFonts w:cs="Times New Roman"/>
          <w:kern w:val="2"/>
          <w:szCs w:val="24"/>
          <w14:ligatures w14:val="standardContextual"/>
        </w:rPr>
      </w:pPr>
      <w:r w:rsidRPr="00B92B8F">
        <w:rPr>
          <w:rFonts w:cs="Times New Roman"/>
          <w:kern w:val="2"/>
          <w:szCs w:val="24"/>
          <w14:ligatures w14:val="standardContextual"/>
        </w:rPr>
        <w:t>Kehtiva kohtute seaduse (KS) § 125</w:t>
      </w:r>
      <w:r w:rsidRPr="00B92B8F">
        <w:rPr>
          <w:rFonts w:cs="Times New Roman"/>
          <w:kern w:val="2"/>
          <w:szCs w:val="24"/>
          <w:vertAlign w:val="superscript"/>
          <w14:ligatures w14:val="standardContextual"/>
        </w:rPr>
        <w:t>1</w:t>
      </w:r>
      <w:r w:rsidRPr="00B92B8F">
        <w:rPr>
          <w:rFonts w:cs="Times New Roman"/>
          <w:kern w:val="2"/>
          <w:szCs w:val="24"/>
          <w14:ligatures w14:val="standardContextual"/>
        </w:rPr>
        <w:t xml:space="preserve"> lõige 6 sätestab, et kohtujuristi palk ei või ületada esimese astme kohtuniku ametipalka ja pärast katseaega </w:t>
      </w:r>
      <w:r w:rsidRPr="00B92B8F">
        <w:rPr>
          <w:rFonts w:cs="Times New Roman"/>
          <w:b/>
          <w:bCs/>
          <w:kern w:val="2"/>
          <w:szCs w:val="24"/>
          <w14:ligatures w14:val="standardContextual"/>
        </w:rPr>
        <w:t>olla väiksem kui pool esimese astme kohtuniku ametipalgast.</w:t>
      </w:r>
      <w:r w:rsidRPr="00B92B8F">
        <w:rPr>
          <w:rFonts w:cs="Times New Roman"/>
          <w:kern w:val="2"/>
          <w:szCs w:val="24"/>
          <w14:ligatures w14:val="standardContextual"/>
        </w:rPr>
        <w:t xml:space="preserve"> Praktikas on see tagatis seni taganud nii palga konkurentsivõime kui ka indekseerimisest tuleneva iga-aastase palgatõusu.</w:t>
      </w:r>
      <w:r w:rsidR="00680707">
        <w:rPr>
          <w:rFonts w:cs="Times New Roman"/>
          <w:kern w:val="2"/>
          <w:szCs w:val="24"/>
          <w14:ligatures w14:val="standardContextual"/>
        </w:rPr>
        <w:t xml:space="preserve"> </w:t>
      </w:r>
      <w:r w:rsidR="00AE4EB4" w:rsidRPr="003D7810">
        <w:t xml:space="preserve">Kohtujuristide </w:t>
      </w:r>
      <w:r w:rsidR="00AE4EB4" w:rsidRPr="003D7810">
        <w:rPr>
          <w:b/>
          <w:bCs/>
        </w:rPr>
        <w:t>palgamudel on olnud senimaani aluseks ja eeskujuks</w:t>
      </w:r>
      <w:r w:rsidR="00AE4EB4" w:rsidRPr="003D7810">
        <w:t xml:space="preserve"> teiste sarnaste </w:t>
      </w:r>
      <w:r w:rsidR="00AE4EB4" w:rsidRPr="003D7810">
        <w:rPr>
          <w:b/>
          <w:bCs/>
        </w:rPr>
        <w:t>kõrge kvalifikatsiooniga avaliku sektori juristide</w:t>
      </w:r>
      <w:r w:rsidR="00AE4EB4" w:rsidRPr="003D7810">
        <w:t xml:space="preserve"> töötasustamise põhimõtete kujundamisel, tagades neile piisava palgagarantiiga süsteemi.</w:t>
      </w:r>
      <w:r w:rsidR="001E73B0" w:rsidRPr="001E73B0">
        <w:t xml:space="preserve"> </w:t>
      </w:r>
      <w:r w:rsidR="001E73B0" w:rsidRPr="003D7810">
        <w:t xml:space="preserve">Näiteks </w:t>
      </w:r>
      <w:r w:rsidR="001E73B0">
        <w:t xml:space="preserve">on </w:t>
      </w:r>
      <w:r w:rsidR="001E73B0" w:rsidRPr="003D7810">
        <w:t>mh prokuratuuriseaduse muutmise</w:t>
      </w:r>
      <w:r w:rsidR="001E73B0">
        <w:t xml:space="preserve"> seaduse</w:t>
      </w:r>
      <w:r w:rsidR="001E73B0" w:rsidRPr="003D7810">
        <w:t xml:space="preserve"> seletuskirjas abiprokuröride töötasu diferentseerimise võimaluse rõhutamisel (töö iseloomu alusel) eeskujuks võetud just kohtute seaduses sätestatud kohtujuristide palgasüsteem (sealhulgas alampalga nõue ja seotus kohtuniku palgaga, viidates KS § 125 lõikele 6)</w:t>
      </w:r>
      <w:r w:rsidR="001E73B0">
        <w:t>.</w:t>
      </w:r>
      <w:r w:rsidR="001E73B0" w:rsidRPr="003D7810">
        <w:rPr>
          <w:rStyle w:val="Allmrkuseviide"/>
        </w:rPr>
        <w:footnoteReference w:id="4"/>
      </w:r>
      <w:r w:rsidR="001E73B0" w:rsidRPr="003D7810">
        <w:t xml:space="preserve"> See näide kinnitab kohtujuristide palgasüsteemi tunnustamist stabiilsuse ja motiveerituse etalonina laiemas avalikus sektoris.</w:t>
      </w:r>
    </w:p>
    <w:p w14:paraId="59C80E4A" w14:textId="3C65E0B5" w:rsidR="00AE4EB4" w:rsidRPr="003D7810" w:rsidRDefault="001E73B0" w:rsidP="00AE4EB4">
      <w:pPr>
        <w:pStyle w:val="Normaallaadveeb"/>
        <w:jc w:val="both"/>
      </w:pPr>
      <w:r w:rsidRPr="003D7810">
        <w:rPr>
          <w:b/>
          <w:bCs/>
        </w:rPr>
        <w:t>Kohtujuristide palgagarantiide kaotamine</w:t>
      </w:r>
      <w:r w:rsidRPr="003D7810">
        <w:t xml:space="preserve"> (alampalga kaotamine ja palga lahti sidumine kohtuniku palgast) loob </w:t>
      </w:r>
      <w:r w:rsidRPr="003D7810">
        <w:rPr>
          <w:b/>
          <w:bCs/>
        </w:rPr>
        <w:t>põhjendamatu ebavõrdsuse</w:t>
      </w:r>
      <w:r w:rsidRPr="003D7810">
        <w:t xml:space="preserve"> olukorras, kus juristide vastutus ja panus on võrreldav teiste kõrge kvalifikatsiooniga avaliku sektori juristide omaga, kelle palgasüsteemid on samal ajal neilt eeskuju võtnud.</w:t>
      </w:r>
      <w:r>
        <w:t xml:space="preserve"> </w:t>
      </w:r>
      <w:r w:rsidR="00AE4EB4" w:rsidRPr="003D7810">
        <w:t xml:space="preserve">Kohtujuristidel on </w:t>
      </w:r>
      <w:r w:rsidR="00AE4EB4" w:rsidRPr="003D7810">
        <w:rPr>
          <w:b/>
          <w:bCs/>
        </w:rPr>
        <w:t>äärmiselt oluline roll</w:t>
      </w:r>
      <w:r w:rsidR="00AE4EB4" w:rsidRPr="003D7810">
        <w:t xml:space="preserve"> kohtule seatud eesmärkide täitmisel, aidates tagada kohtumenetluste tõhusust ja õigusmõistmise kvaliteeti. Nende panus on samaväärne teiste kõrgelt kvalifitseeritud avaliku sektori spetsialistide vastutuse ja rolliga ühiskonna ootustele vastamisel.</w:t>
      </w:r>
      <w:r w:rsidR="00E26F09" w:rsidRPr="003D7810">
        <w:t xml:space="preserve"> </w:t>
      </w:r>
    </w:p>
    <w:p w14:paraId="4716E2D8" w14:textId="31F01164" w:rsidR="006A6886" w:rsidRPr="006A6886" w:rsidRDefault="006A6886" w:rsidP="006A6886">
      <w:pPr>
        <w:pStyle w:val="Normaallaadveeb"/>
        <w:jc w:val="both"/>
      </w:pPr>
      <w:r w:rsidRPr="006A6886">
        <w:t xml:space="preserve">Lisaks eelnevale on </w:t>
      </w:r>
      <w:r>
        <w:t>k</w:t>
      </w:r>
      <w:r w:rsidRPr="006A6886">
        <w:t xml:space="preserve">ohtujuristide palgagarantiisid </w:t>
      </w:r>
      <w:r w:rsidRPr="006A6886">
        <w:rPr>
          <w:b/>
          <w:bCs/>
        </w:rPr>
        <w:t>juba varasemalt vähendatud</w:t>
      </w:r>
      <w:r w:rsidRPr="006A6886">
        <w:t xml:space="preserve"> 7. detsembril 2023. aastal vastu võetud kõrgemate riigiteenijate ametipalkade seaduse ja teiste seaduste täiendamise seadusega. Selle muudatusega </w:t>
      </w:r>
      <w:r w:rsidRPr="006A6886">
        <w:rPr>
          <w:b/>
          <w:bCs/>
        </w:rPr>
        <w:t xml:space="preserve">vähendati kohtujuristide palgamäära indekseerimist poole </w:t>
      </w:r>
      <w:r w:rsidRPr="0099772B">
        <w:rPr>
          <w:b/>
          <w:bCs/>
        </w:rPr>
        <w:t>võrra kuni 31. märtsini 2028</w:t>
      </w:r>
      <w:r w:rsidRPr="006A6886">
        <w:t>.</w:t>
      </w:r>
      <w:r w:rsidR="00C317C9">
        <w:t xml:space="preserve"> </w:t>
      </w:r>
      <w:r w:rsidRPr="006A6886">
        <w:t xml:space="preserve">See meede on juba iseenesest </w:t>
      </w:r>
      <w:r w:rsidRPr="006A6886">
        <w:rPr>
          <w:b/>
          <w:bCs/>
        </w:rPr>
        <w:t>oluliselt vähendanud kohtujuristide palgagarantiid</w:t>
      </w:r>
      <w:r w:rsidRPr="006A6886">
        <w:t xml:space="preserve"> ning muutnud töötasu </w:t>
      </w:r>
      <w:r w:rsidR="0036123B" w:rsidRPr="006A6886">
        <w:t xml:space="preserve">võrreldes erasektoriga </w:t>
      </w:r>
      <w:r w:rsidRPr="006A6886">
        <w:rPr>
          <w:b/>
          <w:bCs/>
        </w:rPr>
        <w:t>aastast aastasse vähem konkurentsivõimeliseks</w:t>
      </w:r>
      <w:r w:rsidR="0036123B" w:rsidRPr="0036123B">
        <w:t>.</w:t>
      </w:r>
      <w:r w:rsidRPr="006A6886">
        <w:t xml:space="preserve"> Kuna puudub ka garantii, et indekseerimise määr tähtaja saabudes taastatakse, teeb see samm </w:t>
      </w:r>
      <w:r w:rsidRPr="006A6886">
        <w:rPr>
          <w:b/>
          <w:bCs/>
        </w:rPr>
        <w:t>kohtujuristide töötasude stabiilsuse eriti ebakindlaks</w:t>
      </w:r>
      <w:r w:rsidRPr="006A6886">
        <w:t>.</w:t>
      </w:r>
    </w:p>
    <w:p w14:paraId="54094A97" w14:textId="406F276F" w:rsidR="006A6886" w:rsidRPr="006A6886" w:rsidRDefault="00C317C9" w:rsidP="006A6886">
      <w:pPr>
        <w:pStyle w:val="Normaallaadveeb"/>
        <w:jc w:val="both"/>
      </w:pPr>
      <w:r>
        <w:t>J</w:t>
      </w:r>
      <w:r w:rsidR="006A6886" w:rsidRPr="006A6886">
        <w:t xml:space="preserve">uristide </w:t>
      </w:r>
      <w:r w:rsidR="006A6886" w:rsidRPr="006A6886">
        <w:rPr>
          <w:b/>
          <w:bCs/>
        </w:rPr>
        <w:t>kvaliteedi ja motivatsiooni tagamiseks</w:t>
      </w:r>
      <w:r w:rsidR="006A6886" w:rsidRPr="006A6886">
        <w:t xml:space="preserve"> </w:t>
      </w:r>
      <w:r>
        <w:t xml:space="preserve">on </w:t>
      </w:r>
      <w:r w:rsidR="006A6886" w:rsidRPr="006A6886">
        <w:t xml:space="preserve">kohtusüsteemis </w:t>
      </w:r>
      <w:r w:rsidRPr="00C317C9">
        <w:rPr>
          <w:b/>
          <w:bCs/>
        </w:rPr>
        <w:t>oluline</w:t>
      </w:r>
      <w:r w:rsidR="006A6886" w:rsidRPr="006A6886">
        <w:rPr>
          <w:b/>
          <w:bCs/>
        </w:rPr>
        <w:t xml:space="preserve"> säilitada minimaalse palga garantii</w:t>
      </w:r>
      <w:r w:rsidR="006A6886" w:rsidRPr="006A6886">
        <w:t xml:space="preserve"> (alampalga nõue ja seotus kohtuniku palgaga) ning vältida täiendavaid alampalga kaotamisega kaasnevaid ebakindlusi.</w:t>
      </w:r>
      <w:r w:rsidRPr="00C317C9">
        <w:t xml:space="preserve"> </w:t>
      </w:r>
      <w:r w:rsidRPr="003D7810">
        <w:t xml:space="preserve">Selline muudatus </w:t>
      </w:r>
      <w:r>
        <w:t>k</w:t>
      </w:r>
      <w:r w:rsidRPr="003D7810">
        <w:t xml:space="preserve">ohtute seaduse eelnõus on </w:t>
      </w:r>
      <w:r w:rsidRPr="003D7810">
        <w:rPr>
          <w:b/>
          <w:bCs/>
        </w:rPr>
        <w:t>selgelt vastuolus nii olemasoleva süsteemi loogika kui ka varasemate regulatsioonide eeskujudega</w:t>
      </w:r>
      <w:r w:rsidRPr="003D7810">
        <w:t>. See on kahjulik töötasustamise tasakaalule ja ühtsusele võrreldavatel ametikohtadel.</w:t>
      </w:r>
    </w:p>
    <w:p w14:paraId="0E7A43B0" w14:textId="77777777" w:rsidR="008A59C3" w:rsidRDefault="008A59C3" w:rsidP="00F11E10">
      <w:pPr>
        <w:tabs>
          <w:tab w:val="left" w:pos="284"/>
        </w:tabs>
        <w:spacing w:before="0" w:after="0"/>
        <w:rPr>
          <w:rFonts w:cs="Times New Roman"/>
          <w:b/>
          <w:bCs/>
          <w:kern w:val="2"/>
          <w:szCs w:val="24"/>
          <w14:ligatures w14:val="standardContextual"/>
        </w:rPr>
      </w:pPr>
      <w:r w:rsidRPr="008A59C3">
        <w:rPr>
          <w:rFonts w:cs="Times New Roman"/>
          <w:b/>
          <w:bCs/>
          <w:kern w:val="2"/>
          <w:szCs w:val="24"/>
          <w14:ligatures w14:val="standardContextual"/>
        </w:rPr>
        <w:t>3. Vastulause palgagarantii kaotamisele</w:t>
      </w:r>
    </w:p>
    <w:p w14:paraId="46CE1FBB" w14:textId="77777777" w:rsidR="00B711B6" w:rsidRPr="008A59C3" w:rsidRDefault="00B711B6" w:rsidP="00A74AEE">
      <w:pPr>
        <w:spacing w:before="0" w:after="0"/>
        <w:rPr>
          <w:rFonts w:cs="Times New Roman"/>
          <w:b/>
          <w:bCs/>
          <w:kern w:val="2"/>
          <w:szCs w:val="24"/>
          <w14:ligatures w14:val="standardContextual"/>
        </w:rPr>
      </w:pPr>
    </w:p>
    <w:p w14:paraId="03837F52" w14:textId="77777777" w:rsidR="008A59C3" w:rsidRDefault="008A59C3" w:rsidP="00A74AEE">
      <w:pPr>
        <w:spacing w:before="0" w:after="0"/>
        <w:rPr>
          <w:rFonts w:cs="Times New Roman"/>
          <w:kern w:val="2"/>
          <w:szCs w:val="24"/>
          <w14:ligatures w14:val="standardContextual"/>
        </w:rPr>
      </w:pPr>
      <w:r w:rsidRPr="008A59C3">
        <w:rPr>
          <w:rFonts w:cs="Times New Roman"/>
          <w:b/>
          <w:bCs/>
          <w:kern w:val="2"/>
          <w:szCs w:val="24"/>
          <w14:ligatures w14:val="standardContextual"/>
        </w:rPr>
        <w:t>Meie, Harju Maakohtu kohtujuristid, palgagarantii kaotamisega ei nõustu.</w:t>
      </w:r>
      <w:r w:rsidRPr="008A59C3">
        <w:rPr>
          <w:rFonts w:cs="Times New Roman"/>
          <w:kern w:val="2"/>
          <w:szCs w:val="24"/>
          <w14:ligatures w14:val="standardContextual"/>
        </w:rPr>
        <w:t xml:space="preserve"> Leiame, et kavandatav muudatus pärsib kohtusüsteemi toimimist ning takistab selle edasist arengut, minnes vastuollu institutsiooni loomise eesmärgiga.</w:t>
      </w:r>
    </w:p>
    <w:p w14:paraId="7A2A41E8" w14:textId="77777777" w:rsidR="00B711B6" w:rsidRPr="008A59C3" w:rsidRDefault="00B711B6" w:rsidP="00A74AEE">
      <w:pPr>
        <w:spacing w:before="0" w:after="0"/>
        <w:rPr>
          <w:rFonts w:cs="Times New Roman"/>
          <w:kern w:val="2"/>
          <w:szCs w:val="24"/>
          <w14:ligatures w14:val="standardContextual"/>
        </w:rPr>
      </w:pPr>
    </w:p>
    <w:p w14:paraId="67CF8613" w14:textId="6ACA2D88" w:rsidR="00562679" w:rsidRDefault="00562679" w:rsidP="00A74AEE">
      <w:pPr>
        <w:spacing w:before="0" w:after="0"/>
        <w:rPr>
          <w:rFonts w:cs="Times New Roman"/>
          <w:b/>
          <w:bCs/>
          <w:kern w:val="2"/>
          <w:szCs w:val="24"/>
          <w14:ligatures w14:val="standardContextual"/>
        </w:rPr>
      </w:pPr>
      <w:r w:rsidRPr="00562679">
        <w:rPr>
          <w:rFonts w:cs="Times New Roman"/>
          <w:b/>
          <w:bCs/>
          <w:kern w:val="2"/>
          <w:szCs w:val="24"/>
          <w14:ligatures w14:val="standardContextual"/>
        </w:rPr>
        <w:lastRenderedPageBreak/>
        <w:t>3.1. Diferentseerimise võimalus on ka kehtiva</w:t>
      </w:r>
      <w:r w:rsidR="0036123B">
        <w:rPr>
          <w:rFonts w:cs="Times New Roman"/>
          <w:b/>
          <w:bCs/>
          <w:kern w:val="2"/>
          <w:szCs w:val="24"/>
          <w14:ligatures w14:val="standardContextual"/>
        </w:rPr>
        <w:t>s</w:t>
      </w:r>
      <w:r w:rsidRPr="00562679">
        <w:rPr>
          <w:rFonts w:cs="Times New Roman"/>
          <w:b/>
          <w:bCs/>
          <w:kern w:val="2"/>
          <w:szCs w:val="24"/>
          <w14:ligatures w14:val="standardContextual"/>
        </w:rPr>
        <w:t xml:space="preserve"> seaduse</w:t>
      </w:r>
      <w:r w:rsidR="0036123B">
        <w:rPr>
          <w:rFonts w:cs="Times New Roman"/>
          <w:b/>
          <w:bCs/>
          <w:kern w:val="2"/>
          <w:szCs w:val="24"/>
          <w14:ligatures w14:val="standardContextual"/>
        </w:rPr>
        <w:t>s</w:t>
      </w:r>
    </w:p>
    <w:p w14:paraId="2DB8EF6F" w14:textId="77777777" w:rsidR="00B711B6" w:rsidRPr="00562679" w:rsidRDefault="00B711B6" w:rsidP="00A74AEE">
      <w:pPr>
        <w:spacing w:before="0" w:after="0"/>
        <w:rPr>
          <w:rFonts w:cs="Times New Roman"/>
          <w:b/>
          <w:bCs/>
          <w:kern w:val="2"/>
          <w:szCs w:val="24"/>
          <w14:ligatures w14:val="standardContextual"/>
        </w:rPr>
      </w:pPr>
    </w:p>
    <w:p w14:paraId="3352CBA5" w14:textId="77777777" w:rsidR="005413BF" w:rsidRDefault="005413BF" w:rsidP="00A74AEE">
      <w:pPr>
        <w:spacing w:before="0" w:after="0"/>
        <w:rPr>
          <w:rFonts w:cs="Times New Roman"/>
          <w:kern w:val="2"/>
          <w:szCs w:val="24"/>
          <w14:ligatures w14:val="standardContextual"/>
        </w:rPr>
      </w:pPr>
      <w:r w:rsidRPr="00A74AEE">
        <w:rPr>
          <w:rFonts w:cs="Times New Roman"/>
          <w:kern w:val="2"/>
          <w:szCs w:val="24"/>
          <w14:ligatures w14:val="standardContextual"/>
        </w:rPr>
        <w:t xml:space="preserve">Kavandatavat muudatust ei ole asjakohane põhjendada ainuüksi vajadusega tagada võimalus palkade diferentseerimiseks (sh kohtute sisese karjäärisüsteemi loomise korral). Nimelt ka </w:t>
      </w:r>
      <w:r w:rsidRPr="00A74AEE">
        <w:rPr>
          <w:rFonts w:cs="Times New Roman"/>
          <w:b/>
          <w:bCs/>
          <w:kern w:val="2"/>
          <w:szCs w:val="24"/>
          <w14:ligatures w14:val="standardContextual"/>
        </w:rPr>
        <w:t>kehtiv seadus võimaldab palkade diferentseerimist</w:t>
      </w:r>
      <w:r w:rsidRPr="00A74AEE">
        <w:rPr>
          <w:rFonts w:cs="Times New Roman"/>
          <w:kern w:val="2"/>
          <w:szCs w:val="24"/>
          <w14:ligatures w14:val="standardContextual"/>
        </w:rPr>
        <w:t>, kuid palgale on ette nähtud miinimumnõue.</w:t>
      </w:r>
    </w:p>
    <w:p w14:paraId="13E93AAB" w14:textId="77777777" w:rsidR="00B711B6" w:rsidRPr="00A74AEE" w:rsidRDefault="00B711B6" w:rsidP="00A74AEE">
      <w:pPr>
        <w:spacing w:before="0" w:after="0"/>
        <w:rPr>
          <w:rFonts w:cs="Times New Roman"/>
          <w:kern w:val="2"/>
          <w:szCs w:val="24"/>
          <w14:ligatures w14:val="standardContextual"/>
        </w:rPr>
      </w:pPr>
    </w:p>
    <w:p w14:paraId="14DF21DC" w14:textId="1E81F45C" w:rsidR="00197A08" w:rsidRDefault="005413BF" w:rsidP="00A74AEE">
      <w:pPr>
        <w:spacing w:before="0" w:after="0"/>
        <w:rPr>
          <w:rFonts w:cs="Times New Roman"/>
          <w:kern w:val="2"/>
          <w14:ligatures w14:val="standardContextual"/>
        </w:rPr>
      </w:pPr>
      <w:r w:rsidRPr="61D67C29">
        <w:rPr>
          <w:rFonts w:cs="Times New Roman"/>
          <w:kern w:val="2"/>
          <w14:ligatures w14:val="standardContextual"/>
        </w:rPr>
        <w:t>Kehtiv seadus näeb ette palga ülemise piiri (kohtujuristi palk ei või ületada esimese astme kohtuniku ametipalka)</w:t>
      </w:r>
      <w:r w:rsidR="00F41E71">
        <w:rPr>
          <w:rFonts w:cs="Times New Roman"/>
          <w:kern w:val="2"/>
          <w14:ligatures w14:val="standardContextual"/>
        </w:rPr>
        <w:t>,</w:t>
      </w:r>
      <w:r w:rsidRPr="61D67C29">
        <w:rPr>
          <w:rFonts w:cs="Times New Roman"/>
          <w:kern w:val="2"/>
          <w14:ligatures w14:val="standardContextual"/>
        </w:rPr>
        <w:t xml:space="preserve"> seega on kohtujuristide palkade diferentseerimine ka praegu võimalik. Kehtiv seadus võimaldab palku diferentseerida vahemikus pool esimese astme kohtuniku ametipalgast kuni esimese astme kohtuniku ametipalgani. Vastav vahemik on </w:t>
      </w:r>
      <w:r w:rsidRPr="61D67C29">
        <w:rPr>
          <w:rFonts w:cs="Times New Roman"/>
          <w:b/>
          <w:kern w:val="2"/>
          <w14:ligatures w14:val="standardContextual"/>
        </w:rPr>
        <w:t>piisav</w:t>
      </w:r>
      <w:r w:rsidRPr="61D67C29">
        <w:rPr>
          <w:rFonts w:cs="Times New Roman"/>
          <w:kern w:val="2"/>
          <w14:ligatures w14:val="standardContextual"/>
        </w:rPr>
        <w:t xml:space="preserve"> selleks, et soovi korral luua kohtutes karjäärisüsteeme diferentseeritud palgaga. Kohtujuristide palkade diferentseerimisele ei sea takistusi seaduses sätestatud palga ülempiir – st usutavasti ei looda kohtutes karjäärimudelit, kus kohtujuristil oleks võimalik teenida esimese astme kohtunikust enam. Seda järeldust toetab kohtusüsteemi struktuurimuudatuste finantsanalüüsi lõpphinnang</w:t>
      </w:r>
      <w:r w:rsidR="00964B5B" w:rsidRPr="61D67C29">
        <w:rPr>
          <w:rFonts w:eastAsia="Calibri" w:cs="Times New Roman"/>
        </w:rPr>
        <w:t>.</w:t>
      </w:r>
      <w:r w:rsidR="00964B5B" w:rsidRPr="61D67C29">
        <w:rPr>
          <w:rStyle w:val="Allmrkuseviide"/>
          <w:rFonts w:eastAsia="Calibri" w:cs="Times New Roman"/>
        </w:rPr>
        <w:footnoteReference w:id="5"/>
      </w:r>
      <w:r w:rsidR="00BC728C" w:rsidRPr="61D67C29">
        <w:rPr>
          <w:rFonts w:eastAsia="Calibri" w:cs="Times New Roman"/>
        </w:rPr>
        <w:t xml:space="preserve"> </w:t>
      </w:r>
      <w:r w:rsidR="00197A08" w:rsidRPr="61D67C29">
        <w:rPr>
          <w:rFonts w:cs="Times New Roman"/>
          <w:kern w:val="2"/>
          <w14:ligatures w14:val="standardContextual"/>
        </w:rPr>
        <w:t xml:space="preserve">Kuna kehtiv seadus ei takista juba praegu miinimumnõudest suurema palga määramist, saab kavandatava muudatuse </w:t>
      </w:r>
      <w:r w:rsidR="00197A08" w:rsidRPr="61D67C29">
        <w:rPr>
          <w:rFonts w:cs="Times New Roman"/>
          <w:b/>
          <w:kern w:val="2"/>
          <w14:ligatures w14:val="standardContextual"/>
        </w:rPr>
        <w:t>tegelikuks eesmärgiks pidada eeskätt võimaluse loomist vähendada (vähemalt osade) kohtujuristide palka alla praeguse seadusega sätestatud miinimumi</w:t>
      </w:r>
      <w:r w:rsidR="00197A08" w:rsidRPr="61D67C29">
        <w:rPr>
          <w:rFonts w:cs="Times New Roman"/>
          <w:kern w:val="2"/>
          <w14:ligatures w14:val="standardContextual"/>
        </w:rPr>
        <w:t xml:space="preserve"> (sh palkade külmutami</w:t>
      </w:r>
      <w:r w:rsidR="003F694B" w:rsidRPr="61D67C29">
        <w:rPr>
          <w:rFonts w:cs="Times New Roman"/>
          <w:kern w:val="2"/>
          <w14:ligatures w14:val="standardContextual"/>
        </w:rPr>
        <w:t>st</w:t>
      </w:r>
      <w:r w:rsidR="00197A08" w:rsidRPr="61D67C29">
        <w:rPr>
          <w:rFonts w:cs="Times New Roman"/>
          <w:kern w:val="2"/>
          <w14:ligatures w14:val="standardContextual"/>
        </w:rPr>
        <w:t>).</w:t>
      </w:r>
    </w:p>
    <w:p w14:paraId="3FC59697" w14:textId="77777777" w:rsidR="00B711B6" w:rsidRPr="00A74AEE" w:rsidRDefault="00B711B6" w:rsidP="00A74AEE">
      <w:pPr>
        <w:spacing w:before="0" w:after="0"/>
        <w:rPr>
          <w:rFonts w:cs="Times New Roman"/>
          <w:kern w:val="2"/>
          <w:szCs w:val="24"/>
          <w14:ligatures w14:val="standardContextual"/>
        </w:rPr>
      </w:pPr>
    </w:p>
    <w:p w14:paraId="3DC18C76" w14:textId="77777777" w:rsidR="0013019B" w:rsidRDefault="0013019B" w:rsidP="00A74AEE">
      <w:pPr>
        <w:spacing w:before="0" w:after="0"/>
        <w:rPr>
          <w:rFonts w:cs="Times New Roman"/>
          <w:b/>
          <w:bCs/>
          <w:szCs w:val="24"/>
        </w:rPr>
      </w:pPr>
      <w:r w:rsidRPr="00EE2EB0">
        <w:rPr>
          <w:rFonts w:cs="Times New Roman"/>
          <w:b/>
          <w:bCs/>
          <w:szCs w:val="24"/>
        </w:rPr>
        <w:t>3.2. Palgagarantii on kõrge kvalifikatsiooni säilitamise võti</w:t>
      </w:r>
    </w:p>
    <w:p w14:paraId="187D4587" w14:textId="77777777" w:rsidR="00B711B6" w:rsidRPr="00EE2EB0" w:rsidRDefault="00B711B6" w:rsidP="00A74AEE">
      <w:pPr>
        <w:spacing w:before="0" w:after="0"/>
        <w:rPr>
          <w:rFonts w:cs="Times New Roman"/>
          <w:b/>
          <w:bCs/>
          <w:szCs w:val="24"/>
        </w:rPr>
      </w:pPr>
    </w:p>
    <w:p w14:paraId="5B507A8F" w14:textId="4129B7F6" w:rsidR="00C277F2" w:rsidRPr="00C277F2" w:rsidRDefault="00C277F2" w:rsidP="00C277F2">
      <w:pPr>
        <w:spacing w:before="0" w:after="160" w:line="276" w:lineRule="auto"/>
        <w:rPr>
          <w:rFonts w:eastAsia="Times New Roman" w:cs="Times New Roman"/>
          <w:szCs w:val="24"/>
        </w:rPr>
      </w:pPr>
      <w:r w:rsidRPr="00C277F2">
        <w:rPr>
          <w:rFonts w:eastAsia="Times New Roman" w:cs="Times New Roman"/>
          <w:i/>
          <w:iCs/>
          <w:szCs w:val="24"/>
        </w:rPr>
        <w:t>Kohtute seaduse (KS) § 125</w:t>
      </w:r>
      <w:r w:rsidRPr="00C277F2">
        <w:rPr>
          <w:rFonts w:eastAsia="Times New Roman" w:cs="Times New Roman"/>
          <w:i/>
          <w:iCs/>
          <w:szCs w:val="24"/>
          <w:vertAlign w:val="superscript"/>
        </w:rPr>
        <w:t>1</w:t>
      </w:r>
      <w:r w:rsidRPr="00C277F2">
        <w:rPr>
          <w:rFonts w:eastAsia="Times New Roman" w:cs="Times New Roman"/>
          <w:i/>
          <w:iCs/>
          <w:szCs w:val="24"/>
        </w:rPr>
        <w:t xml:space="preserve"> lg 4 kohaselt</w:t>
      </w:r>
      <w:r w:rsidR="002D6A3E">
        <w:rPr>
          <w:rFonts w:eastAsia="Times New Roman" w:cs="Times New Roman"/>
          <w:i/>
          <w:iCs/>
          <w:szCs w:val="24"/>
        </w:rPr>
        <w:t xml:space="preserve"> võib</w:t>
      </w:r>
      <w:r w:rsidRPr="00C277F2">
        <w:rPr>
          <w:rFonts w:eastAsia="Times New Roman" w:cs="Times New Roman"/>
          <w:i/>
          <w:iCs/>
          <w:szCs w:val="24"/>
        </w:rPr>
        <w:t xml:space="preserve"> kohtujuristiks nimetada isiku, kes vastab </w:t>
      </w:r>
      <w:hyperlink r:id="rId12" w:anchor="para47">
        <w:r w:rsidRPr="00C277F2">
          <w:rPr>
            <w:rStyle w:val="Hperlink"/>
            <w:rFonts w:eastAsia="Times New Roman" w:cs="Times New Roman"/>
            <w:i/>
            <w:iCs/>
            <w:color w:val="auto"/>
            <w:szCs w:val="24"/>
          </w:rPr>
          <w:t>käesoleva seaduse § 47 lõike 1 punktides 1–3</w:t>
        </w:r>
      </w:hyperlink>
      <w:r w:rsidRPr="00C277F2">
        <w:rPr>
          <w:rFonts w:eastAsia="Times New Roman" w:cs="Times New Roman"/>
          <w:i/>
          <w:iCs/>
          <w:szCs w:val="24"/>
        </w:rPr>
        <w:t xml:space="preserve"> kehtestatud nõuetele. Kohtujuristiks ei või nimetada isikut, keda avaliku teenistuse seaduse kohaselt ei või võtta teenistusse ametnikuna. KS § 47 lg 1 kohaselt, kohtunikuks võib nimetada Eesti Vabariigi kodaniku, kes:</w:t>
      </w:r>
      <w:r w:rsidRPr="00C277F2">
        <w:br/>
      </w:r>
      <w:r w:rsidRPr="00C277F2">
        <w:rPr>
          <w:rFonts w:eastAsia="Times New Roman" w:cs="Times New Roman"/>
          <w:i/>
          <w:iCs/>
          <w:szCs w:val="24"/>
        </w:rPr>
        <w:t xml:space="preserve">1) on omandanud õiguse õppesuunal vähemalt riiklikult tunnustatud magistrikraadi, sellele vastava kvalifikatsiooni </w:t>
      </w:r>
      <w:hyperlink r:id="rId13" w:anchor="para28">
        <w:r w:rsidRPr="00C277F2">
          <w:rPr>
            <w:rStyle w:val="Hperlink"/>
            <w:rFonts w:eastAsia="Times New Roman" w:cs="Times New Roman"/>
            <w:i/>
            <w:iCs/>
            <w:color w:val="auto"/>
            <w:szCs w:val="24"/>
          </w:rPr>
          <w:t>Eesti Vabariigi haridusseaduse § 28 lõike 22</w:t>
        </w:r>
      </w:hyperlink>
      <w:r w:rsidRPr="00C277F2">
        <w:rPr>
          <w:rFonts w:eastAsia="Times New Roman" w:cs="Times New Roman"/>
          <w:i/>
          <w:iCs/>
          <w:szCs w:val="24"/>
        </w:rPr>
        <w:t xml:space="preserve"> tähenduses või vastava sellele välisriigi kvalifikatsiooni; 2) oskab eesti keelt keeleseaduses sätestatud C1-tasemel või sellele vastaval tasemel; 3) on kõrgete kõlbeliste omadustega. </w:t>
      </w:r>
      <w:r w:rsidRPr="00C277F2">
        <w:rPr>
          <w:rFonts w:eastAsia="Times New Roman" w:cs="Times New Roman"/>
          <w:szCs w:val="24"/>
        </w:rPr>
        <w:t>Seega on kohtujuristile ette kirjutatud samad haridus-, keele- ja kõlbelisuse nõuded (KS § 47 lg 1 p-d 1–3) mis kohtunikule, lisaks keeld nimetada isik, keda ei või avaliku teenistuse seaduse kohaselt ametnikuna teenistusse võtta.</w:t>
      </w:r>
    </w:p>
    <w:p w14:paraId="453656C5" w14:textId="77777777" w:rsidR="0013019B" w:rsidRDefault="0013019B" w:rsidP="00A74AEE">
      <w:pPr>
        <w:spacing w:before="0" w:after="0"/>
        <w:rPr>
          <w:rFonts w:cs="Times New Roman"/>
          <w:b/>
        </w:rPr>
      </w:pPr>
      <w:r w:rsidRPr="61D67C29">
        <w:rPr>
          <w:rFonts w:cs="Times New Roman"/>
        </w:rPr>
        <w:t xml:space="preserve">Kohtujuristide kõrge kvalifikatsiooni säilitamiseks kehtestati palgagarantii, mille eesmärk oli tagada, et palk vastaks tehtava töö hulgale ja raskusastmele ning </w:t>
      </w:r>
      <w:r w:rsidRPr="61D67C29">
        <w:rPr>
          <w:rFonts w:cs="Times New Roman"/>
          <w:b/>
        </w:rPr>
        <w:t>garanteeriks kvalifitseeritud ja kogemustega ametnike püsimise kohtusüsteemis.</w:t>
      </w:r>
    </w:p>
    <w:p w14:paraId="0AD9E171" w14:textId="77777777" w:rsidR="00B711B6" w:rsidRPr="00EE2EB0" w:rsidRDefault="00B711B6" w:rsidP="00A74AEE">
      <w:pPr>
        <w:spacing w:before="0" w:after="0"/>
        <w:rPr>
          <w:rFonts w:cs="Times New Roman"/>
          <w:szCs w:val="24"/>
        </w:rPr>
      </w:pPr>
    </w:p>
    <w:p w14:paraId="50AB9D7B" w14:textId="77777777" w:rsidR="0013019B" w:rsidRDefault="0013019B" w:rsidP="00A74AEE">
      <w:pPr>
        <w:spacing w:before="0" w:after="0"/>
        <w:rPr>
          <w:rFonts w:cs="Times New Roman"/>
          <w:szCs w:val="24"/>
        </w:rPr>
      </w:pPr>
      <w:r w:rsidRPr="00EE2EB0">
        <w:rPr>
          <w:rFonts w:cs="Times New Roman"/>
          <w:szCs w:val="24"/>
        </w:rPr>
        <w:t xml:space="preserve">Kui palk ei ole konkurentsivõimeline, on tagajärg vastupidine: </w:t>
      </w:r>
      <w:r w:rsidRPr="00EE2EB0">
        <w:rPr>
          <w:rFonts w:cs="Times New Roman"/>
          <w:b/>
          <w:bCs/>
          <w:szCs w:val="24"/>
        </w:rPr>
        <w:t>suureneb kohtunike töökoormus ja pikenevad menetlustähtajad</w:t>
      </w:r>
      <w:r w:rsidRPr="00EE2EB0">
        <w:rPr>
          <w:rFonts w:cs="Times New Roman"/>
          <w:szCs w:val="24"/>
        </w:rPr>
        <w:t>, kuna võimekad ja kohtusüsteemi kogemusega kohtujuristid lahkuvad erasektorisse või mujale avalikku teenistusse.</w:t>
      </w:r>
    </w:p>
    <w:p w14:paraId="60FF09A9" w14:textId="77777777" w:rsidR="00F53C45" w:rsidRPr="00EE2EB0" w:rsidRDefault="00F53C45" w:rsidP="00A74AEE">
      <w:pPr>
        <w:spacing w:before="0" w:after="0"/>
        <w:rPr>
          <w:rFonts w:cs="Times New Roman"/>
          <w:szCs w:val="24"/>
        </w:rPr>
      </w:pPr>
    </w:p>
    <w:p w14:paraId="2C43BD4A" w14:textId="038AF4B9" w:rsidR="0013019B" w:rsidRDefault="005D69A4" w:rsidP="00A74AEE">
      <w:pPr>
        <w:spacing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K</w:t>
      </w:r>
      <w:r w:rsidR="0013019B" w:rsidRPr="00EE2EB0">
        <w:rPr>
          <w:rFonts w:cs="Times New Roman"/>
          <w:szCs w:val="24"/>
        </w:rPr>
        <w:t xml:space="preserve">ohtujuristide ametikoha eesmärk </w:t>
      </w:r>
      <w:r w:rsidR="00627FD7">
        <w:rPr>
          <w:rFonts w:cs="Times New Roman"/>
          <w:szCs w:val="24"/>
        </w:rPr>
        <w:t xml:space="preserve">on </w:t>
      </w:r>
      <w:r>
        <w:rPr>
          <w:rFonts w:cs="Times New Roman"/>
          <w:szCs w:val="24"/>
        </w:rPr>
        <w:t>kohtusse tulnud asjade</w:t>
      </w:r>
      <w:r w:rsidR="0013019B" w:rsidRPr="00EE2EB0">
        <w:rPr>
          <w:rFonts w:cs="Times New Roman"/>
          <w:szCs w:val="24"/>
        </w:rPr>
        <w:t xml:space="preserve"> kvaliteetseks lahendamiseks ettevalmistamine, kohtudokumentide projektide koostamine ja kohtunike juriidiline abistamine </w:t>
      </w:r>
      <w:r w:rsidR="0013019B" w:rsidRPr="00EE2EB0">
        <w:rPr>
          <w:rFonts w:cs="Times New Roman"/>
          <w:szCs w:val="24"/>
        </w:rPr>
        <w:lastRenderedPageBreak/>
        <w:t>viisil, mis tagab kohtu töö efektiivsuse. Palgagarantii kaotamine avaldab otsest mõju nii kohtumenetluste kestusele kui ka kohtute töö üldisele kvaliteedile</w:t>
      </w:r>
      <w:r w:rsidR="00B21492" w:rsidRPr="00A74AEE">
        <w:rPr>
          <w:rFonts w:cs="Times New Roman"/>
          <w:szCs w:val="24"/>
        </w:rPr>
        <w:t>.</w:t>
      </w:r>
      <w:r w:rsidR="00B21492" w:rsidRPr="00A74AEE">
        <w:rPr>
          <w:rStyle w:val="Allmrkuseviide"/>
          <w:rFonts w:cs="Times New Roman"/>
          <w:szCs w:val="24"/>
        </w:rPr>
        <w:footnoteReference w:id="6"/>
      </w:r>
    </w:p>
    <w:p w14:paraId="1864E3A2" w14:textId="77777777" w:rsidR="00B711B6" w:rsidRPr="00A74AEE" w:rsidRDefault="00B711B6" w:rsidP="00A74AEE">
      <w:pPr>
        <w:spacing w:before="0" w:after="0"/>
        <w:rPr>
          <w:rFonts w:cs="Times New Roman"/>
          <w:szCs w:val="24"/>
        </w:rPr>
      </w:pPr>
    </w:p>
    <w:p w14:paraId="1B583836" w14:textId="5AF1829E" w:rsidR="00646D6A" w:rsidRDefault="00646D6A" w:rsidP="00A74AEE">
      <w:pPr>
        <w:spacing w:before="0" w:after="0"/>
        <w:rPr>
          <w:rFonts w:cs="Times New Roman"/>
          <w:kern w:val="2"/>
          <w:szCs w:val="24"/>
          <w14:ligatures w14:val="standardContextual"/>
        </w:rPr>
      </w:pPr>
      <w:r w:rsidRPr="00A74AEE">
        <w:rPr>
          <w:rFonts w:cs="Times New Roman"/>
          <w:kern w:val="2"/>
          <w:szCs w:val="24"/>
          <w14:ligatures w14:val="standardContextual"/>
        </w:rPr>
        <w:t xml:space="preserve">Palgagarantii kaotamisega kaasnev </w:t>
      </w:r>
      <w:r w:rsidRPr="00A74AEE">
        <w:rPr>
          <w:rFonts w:cs="Times New Roman"/>
          <w:b/>
          <w:bCs/>
          <w:kern w:val="2"/>
          <w:szCs w:val="24"/>
          <w14:ligatures w14:val="standardContextual"/>
        </w:rPr>
        <w:t>suurenenud personali voolavus</w:t>
      </w:r>
      <w:r w:rsidRPr="00A74AEE">
        <w:rPr>
          <w:rFonts w:cs="Times New Roman"/>
          <w:kern w:val="2"/>
          <w:szCs w:val="24"/>
          <w14:ligatures w14:val="standardContextual"/>
        </w:rPr>
        <w:t xml:space="preserve"> toob riigile kaasa olulise rahalise kulu. Uue kvalifitseeritud ametniku värbamise, koolitamise ja sisseelamise kulu, mis hõlmab töökuulutusi, </w:t>
      </w:r>
      <w:r w:rsidR="006D2213">
        <w:rPr>
          <w:rFonts w:cs="Times New Roman"/>
          <w:kern w:val="2"/>
          <w:szCs w:val="24"/>
          <w14:ligatures w14:val="standardContextual"/>
        </w:rPr>
        <w:t>uute ametnike valiku</w:t>
      </w:r>
      <w:r w:rsidR="002D6A3E">
        <w:rPr>
          <w:rFonts w:cs="Times New Roman"/>
          <w:kern w:val="2"/>
          <w:szCs w:val="24"/>
          <w14:ligatures w14:val="standardContextual"/>
        </w:rPr>
        <w:t>ga kaasnevat</w:t>
      </w:r>
      <w:r w:rsidR="006D2213">
        <w:rPr>
          <w:rFonts w:cs="Times New Roman"/>
          <w:kern w:val="2"/>
          <w:szCs w:val="24"/>
          <w14:ligatures w14:val="standardContextual"/>
        </w:rPr>
        <w:t xml:space="preserve"> </w:t>
      </w:r>
      <w:r w:rsidR="002D6A3E">
        <w:rPr>
          <w:rFonts w:cs="Times New Roman"/>
          <w:kern w:val="2"/>
          <w:szCs w:val="24"/>
          <w14:ligatures w14:val="standardContextual"/>
        </w:rPr>
        <w:t>ajakulu</w:t>
      </w:r>
      <w:r w:rsidRPr="00A74AEE">
        <w:rPr>
          <w:rFonts w:cs="Times New Roman"/>
          <w:kern w:val="2"/>
          <w:szCs w:val="24"/>
          <w14:ligatures w14:val="standardContextual"/>
        </w:rPr>
        <w:t xml:space="preserve"> ja lünka töötulemustes, ületab kordades praeguse palgagarantiiga kaasneva stabiilse kulu. </w:t>
      </w:r>
      <w:r w:rsidRPr="00A74AEE">
        <w:rPr>
          <w:rFonts w:cs="Times New Roman"/>
          <w:b/>
          <w:bCs/>
          <w:kern w:val="2"/>
          <w:szCs w:val="24"/>
          <w14:ligatures w14:val="standardContextual"/>
        </w:rPr>
        <w:t>Pikaajaline rahaline kokkuhoid saavutatakse stabiilse ja efektiivse tööjõuga, mitte palga külmutamisega.</w:t>
      </w:r>
      <w:r w:rsidRPr="00A74AEE">
        <w:rPr>
          <w:rFonts w:cs="Times New Roman"/>
          <w:kern w:val="2"/>
          <w:szCs w:val="24"/>
          <w14:ligatures w14:val="standardContextual"/>
        </w:rPr>
        <w:t xml:space="preserve"> Seejuures on kohtujuristide näol tegemist spetsialistidega, kelle koolitamine on aeganõudev</w:t>
      </w:r>
      <w:r w:rsidR="00F92523" w:rsidRPr="00A74AEE">
        <w:rPr>
          <w:rFonts w:cs="Times New Roman"/>
          <w:kern w:val="2"/>
          <w:szCs w:val="24"/>
          <w14:ligatures w14:val="standardContextual"/>
        </w:rPr>
        <w:t>, kulukas</w:t>
      </w:r>
      <w:r w:rsidRPr="00A74AEE">
        <w:rPr>
          <w:rFonts w:cs="Times New Roman"/>
          <w:kern w:val="2"/>
          <w:szCs w:val="24"/>
          <w14:ligatures w14:val="standardContextual"/>
        </w:rPr>
        <w:t xml:space="preserve"> ja spetsiifiline.</w:t>
      </w:r>
    </w:p>
    <w:p w14:paraId="777F5202" w14:textId="77777777" w:rsidR="00B711B6" w:rsidRPr="00A74AEE" w:rsidRDefault="00B711B6" w:rsidP="00A74AEE">
      <w:pPr>
        <w:spacing w:before="0" w:after="0"/>
        <w:rPr>
          <w:rFonts w:cs="Times New Roman"/>
          <w:kern w:val="2"/>
          <w:szCs w:val="24"/>
          <w14:ligatures w14:val="standardContextual"/>
        </w:rPr>
      </w:pPr>
    </w:p>
    <w:p w14:paraId="1B4E1F4C" w14:textId="3E239F35" w:rsidR="008C50F7" w:rsidRPr="00745866" w:rsidRDefault="00C223DA" w:rsidP="00A74AEE">
      <w:pPr>
        <w:spacing w:before="0" w:after="0"/>
        <w:rPr>
          <w:b/>
          <w:bCs/>
          <w:szCs w:val="24"/>
        </w:rPr>
      </w:pPr>
      <w:r w:rsidRPr="00745866">
        <w:rPr>
          <w:rFonts w:cs="Times New Roman"/>
          <w:b/>
          <w:bCs/>
          <w:kern w:val="2"/>
          <w:szCs w:val="24"/>
          <w14:ligatures w14:val="standardContextual"/>
        </w:rPr>
        <w:t>3.3</w:t>
      </w:r>
      <w:r w:rsidR="007040AA">
        <w:rPr>
          <w:rFonts w:cs="Times New Roman"/>
          <w:b/>
          <w:bCs/>
          <w:kern w:val="2"/>
          <w:szCs w:val="24"/>
          <w14:ligatures w14:val="standardContextual"/>
        </w:rPr>
        <w:t>.</w:t>
      </w:r>
      <w:r w:rsidRPr="00745866">
        <w:rPr>
          <w:rFonts w:cs="Times New Roman"/>
          <w:b/>
          <w:bCs/>
          <w:kern w:val="2"/>
          <w:szCs w:val="24"/>
          <w14:ligatures w14:val="standardContextual"/>
        </w:rPr>
        <w:t xml:space="preserve"> Kohtujuristide panus tagab kohtunike fookuse keerulisematele juriidilistele küsimustele ja lahendite sisulisele koostamisele</w:t>
      </w:r>
    </w:p>
    <w:p w14:paraId="439F193C" w14:textId="77777777" w:rsidR="008C50F7" w:rsidRDefault="008C50F7" w:rsidP="00A74AEE">
      <w:pPr>
        <w:spacing w:before="0" w:after="0"/>
        <w:rPr>
          <w:szCs w:val="24"/>
        </w:rPr>
      </w:pPr>
    </w:p>
    <w:p w14:paraId="5AE4E5A3" w14:textId="6FC4E3A0" w:rsidR="00C223DA" w:rsidRDefault="00EE5475" w:rsidP="00A74AEE">
      <w:pPr>
        <w:spacing w:before="0" w:after="0"/>
        <w:rPr>
          <w:szCs w:val="24"/>
        </w:rPr>
      </w:pPr>
      <w:r w:rsidRPr="00A74AEE">
        <w:rPr>
          <w:rFonts w:cs="Times New Roman"/>
          <w:kern w:val="2"/>
          <w:szCs w:val="24"/>
          <w14:ligatures w14:val="standardContextual"/>
        </w:rPr>
        <w:t>Kohtujuristi institutsioon on loodud eelkõige selleks, et tagada õigusemõistmise järjepidevus ja lühemad menetlustähtajad olukorras, kus kohtunikud on tõendatult ülekoormatud.</w:t>
      </w:r>
      <w:r w:rsidR="0069414A" w:rsidRPr="00A74AEE">
        <w:rPr>
          <w:szCs w:val="24"/>
        </w:rPr>
        <w:t xml:space="preserve"> </w:t>
      </w:r>
      <w:r w:rsidR="00845388" w:rsidRPr="00A74AEE">
        <w:rPr>
          <w:szCs w:val="24"/>
        </w:rPr>
        <w:t xml:space="preserve">Peame vajalikuks märkida, et kohtunike ülekoormatuse tõttu on </w:t>
      </w:r>
      <w:r w:rsidR="00990CEC" w:rsidRPr="00A74AEE">
        <w:rPr>
          <w:szCs w:val="24"/>
        </w:rPr>
        <w:t xml:space="preserve">muuhulgas </w:t>
      </w:r>
      <w:r w:rsidR="00845388" w:rsidRPr="00A74AEE">
        <w:rPr>
          <w:szCs w:val="24"/>
        </w:rPr>
        <w:t>ka</w:t>
      </w:r>
      <w:r w:rsidR="0069414A" w:rsidRPr="00A74AEE">
        <w:rPr>
          <w:rFonts w:cs="Times New Roman"/>
          <w:kern w:val="2"/>
          <w:szCs w:val="24"/>
          <w14:ligatures w14:val="standardContextual"/>
        </w:rPr>
        <w:t xml:space="preserve"> </w:t>
      </w:r>
      <w:r w:rsidR="00845388" w:rsidRPr="00A74AEE">
        <w:rPr>
          <w:rFonts w:cs="Times New Roman"/>
          <w:kern w:val="2"/>
          <w:szCs w:val="24"/>
          <w14:ligatures w14:val="standardContextual"/>
        </w:rPr>
        <w:t>kohtu</w:t>
      </w:r>
      <w:r w:rsidR="0069414A" w:rsidRPr="00A74AEE">
        <w:rPr>
          <w:rFonts w:cs="Times New Roman"/>
          <w:kern w:val="2"/>
          <w:szCs w:val="24"/>
          <w14:ligatures w14:val="standardContextual"/>
        </w:rPr>
        <w:t xml:space="preserve">lahendite sisuline ettevalmistamine kohtuniku suuniste järgi kohtujuristide </w:t>
      </w:r>
      <w:r w:rsidR="0069414A" w:rsidRPr="00A74AEE">
        <w:rPr>
          <w:rFonts w:cs="Times New Roman"/>
          <w:b/>
          <w:bCs/>
          <w:kern w:val="2"/>
          <w:szCs w:val="24"/>
          <w14:ligatures w14:val="standardContextual"/>
        </w:rPr>
        <w:t>asendamatu tööülesanne</w:t>
      </w:r>
      <w:r w:rsidR="0069414A" w:rsidRPr="00A74AEE">
        <w:rPr>
          <w:rFonts w:cs="Times New Roman"/>
          <w:kern w:val="2"/>
          <w:szCs w:val="24"/>
          <w14:ligatures w14:val="standardContextual"/>
        </w:rPr>
        <w:t>.</w:t>
      </w:r>
      <w:r w:rsidR="00C223DA" w:rsidRPr="00A74AEE">
        <w:rPr>
          <w:rFonts w:cs="Times New Roman"/>
          <w:kern w:val="2"/>
          <w:szCs w:val="24"/>
          <w14:ligatures w14:val="standardContextual"/>
        </w:rPr>
        <w:t xml:space="preserve"> Kohtujuristide lahkumise tagajärjel langeb sisulise tugipersonali puudumise tõttu kogu töökoormus kohtunikele. Kohtuniku (kelle palk on kohtujuristi miinimumpalgast vähemalt kahekordne) aeg läheb seejärel lihtsamate, rutiinsemate ülesannete täitmiseks. Selline </w:t>
      </w:r>
      <w:r w:rsidR="00C223DA" w:rsidRPr="00A74AEE">
        <w:rPr>
          <w:rFonts w:cs="Times New Roman"/>
          <w:b/>
          <w:bCs/>
          <w:kern w:val="2"/>
          <w:szCs w:val="24"/>
          <w14:ligatures w14:val="standardContextual"/>
        </w:rPr>
        <w:t>efektiivsuse kaotus</w:t>
      </w:r>
      <w:r w:rsidR="00C223DA" w:rsidRPr="00A74AEE">
        <w:rPr>
          <w:rFonts w:cs="Times New Roman"/>
          <w:kern w:val="2"/>
          <w:szCs w:val="24"/>
          <w14:ligatures w14:val="standardContextual"/>
        </w:rPr>
        <w:t xml:space="preserve"> tähendab </w:t>
      </w:r>
      <w:r w:rsidR="00C223DA" w:rsidRPr="00A74AEE">
        <w:rPr>
          <w:rFonts w:cs="Times New Roman"/>
          <w:i/>
          <w:iCs/>
          <w:kern w:val="2"/>
          <w:szCs w:val="24"/>
          <w14:ligatures w14:val="standardContextual"/>
        </w:rPr>
        <w:t>de facto</w:t>
      </w:r>
      <w:r w:rsidR="00C223DA" w:rsidRPr="00A74AEE">
        <w:rPr>
          <w:rFonts w:cs="Times New Roman"/>
          <w:kern w:val="2"/>
          <w:szCs w:val="24"/>
          <w14:ligatures w14:val="standardContextual"/>
        </w:rPr>
        <w:t xml:space="preserve"> kallimate töötundide kasutamist odavamate asenduseks ning pikendab menetlustähtaegu, mis omakorda toob riigile kaasa täiendava kulu </w:t>
      </w:r>
      <w:r w:rsidR="00C223DA" w:rsidRPr="00A74AEE">
        <w:rPr>
          <w:rFonts w:cs="Times New Roman"/>
          <w:b/>
          <w:bCs/>
          <w:kern w:val="2"/>
          <w:szCs w:val="24"/>
          <w14:ligatures w14:val="standardContextual"/>
        </w:rPr>
        <w:t>menetlusaegade ületamise eest</w:t>
      </w:r>
      <w:r w:rsidR="00C223DA" w:rsidRPr="00A74AEE">
        <w:rPr>
          <w:rFonts w:cs="Times New Roman"/>
          <w:kern w:val="2"/>
          <w:szCs w:val="24"/>
          <w14:ligatures w14:val="standardContextual"/>
        </w:rPr>
        <w:t xml:space="preserve">. </w:t>
      </w:r>
      <w:r w:rsidR="00C223DA" w:rsidRPr="00A74AEE">
        <w:rPr>
          <w:rFonts w:cs="Times New Roman"/>
          <w:b/>
          <w:bCs/>
          <w:kern w:val="2"/>
          <w:szCs w:val="24"/>
          <w14:ligatures w14:val="standardContextual"/>
        </w:rPr>
        <w:t>Kohtujuristide panus on seega kulu optimeerimise meetod, mitte kuluartikkel.</w:t>
      </w:r>
      <w:r w:rsidR="0042249B" w:rsidRPr="00A74AEE">
        <w:rPr>
          <w:szCs w:val="24"/>
        </w:rPr>
        <w:t xml:space="preserve"> Kaalumisel olev</w:t>
      </w:r>
      <w:r w:rsidR="00F760AF">
        <w:rPr>
          <w:szCs w:val="24"/>
        </w:rPr>
        <w:t>a</w:t>
      </w:r>
      <w:r w:rsidR="0042249B" w:rsidRPr="00A74AEE">
        <w:rPr>
          <w:szCs w:val="24"/>
        </w:rPr>
        <w:t xml:space="preserve"> kohtureformi üheks eesmärgiks on koormust stabiliseerida, kuid ilma kohtujuristide asendamatu panuseta ohustab eelnõu kavatsus seda eesmärki enne reformi täielikku mõju saavutamist.</w:t>
      </w:r>
    </w:p>
    <w:p w14:paraId="67810935" w14:textId="77777777" w:rsidR="00B711B6" w:rsidRPr="00EE2EB0" w:rsidRDefault="00B711B6" w:rsidP="00A74AEE">
      <w:pPr>
        <w:spacing w:before="0" w:after="0"/>
        <w:rPr>
          <w:rFonts w:cs="Times New Roman"/>
          <w:kern w:val="2"/>
          <w:szCs w:val="24"/>
          <w14:ligatures w14:val="standardContextual"/>
        </w:rPr>
      </w:pPr>
    </w:p>
    <w:p w14:paraId="3BB1AFA1" w14:textId="77777777" w:rsidR="00BB31FC" w:rsidRDefault="00BB31FC" w:rsidP="00A74AEE">
      <w:pPr>
        <w:spacing w:before="0" w:after="0"/>
        <w:rPr>
          <w:rFonts w:cs="Times New Roman"/>
          <w:b/>
          <w:bCs/>
          <w:kern w:val="2"/>
          <w:szCs w:val="24"/>
          <w14:ligatures w14:val="standardContextual"/>
        </w:rPr>
      </w:pPr>
      <w:r w:rsidRPr="00BB31FC">
        <w:rPr>
          <w:rFonts w:cs="Times New Roman"/>
          <w:b/>
          <w:bCs/>
          <w:kern w:val="2"/>
          <w:szCs w:val="24"/>
          <w14:ligatures w14:val="standardContextual"/>
        </w:rPr>
        <w:t>4. Järeldus ja ettepanek</w:t>
      </w:r>
    </w:p>
    <w:p w14:paraId="4A55B09E" w14:textId="77777777" w:rsidR="00B711B6" w:rsidRPr="00BB31FC" w:rsidRDefault="00B711B6" w:rsidP="00A74AEE">
      <w:pPr>
        <w:spacing w:before="0" w:after="0"/>
        <w:rPr>
          <w:rFonts w:cs="Times New Roman"/>
          <w:b/>
          <w:bCs/>
          <w:kern w:val="2"/>
          <w:szCs w:val="24"/>
          <w14:ligatures w14:val="standardContextual"/>
        </w:rPr>
      </w:pPr>
    </w:p>
    <w:p w14:paraId="6A2DDF48" w14:textId="2085836A" w:rsidR="001C79E9" w:rsidRPr="00A74AEE" w:rsidRDefault="007B0CFD" w:rsidP="00A74AEE">
      <w:pPr>
        <w:spacing w:before="0" w:after="0"/>
        <w:rPr>
          <w:rFonts w:cs="Times New Roman"/>
          <w:szCs w:val="24"/>
        </w:rPr>
      </w:pPr>
      <w:r w:rsidRPr="00A74AEE">
        <w:rPr>
          <w:rFonts w:cs="Times New Roman"/>
          <w:szCs w:val="24"/>
        </w:rPr>
        <w:t xml:space="preserve">Eelnevat arvestades palume jätta kohtute seaduse muutmise uuest eelnõust välja </w:t>
      </w:r>
      <w:r w:rsidRPr="00A74AEE">
        <w:rPr>
          <w:rFonts w:cs="Times New Roman"/>
          <w:b/>
          <w:bCs/>
          <w:szCs w:val="24"/>
        </w:rPr>
        <w:t>kohtujuristide palga lahti sidumine esimese astme kohtunike palgast</w:t>
      </w:r>
      <w:r w:rsidRPr="00A74AEE">
        <w:rPr>
          <w:rFonts w:cs="Times New Roman"/>
          <w:szCs w:val="24"/>
        </w:rPr>
        <w:t xml:space="preserve">. Ka kehtiv regulatsioon pakub piisavalt paindlikkust palkade diferentseerimiseks ning karjäärisüsteemi loomiseks, säilitades samal ajal olulise tagatise </w:t>
      </w:r>
      <w:r w:rsidRPr="00A74AEE">
        <w:rPr>
          <w:rFonts w:cs="Times New Roman"/>
          <w:b/>
          <w:bCs/>
          <w:szCs w:val="24"/>
        </w:rPr>
        <w:t xml:space="preserve">kvalifitseeritud ametnike </w:t>
      </w:r>
      <w:r w:rsidRPr="00A74AEE">
        <w:rPr>
          <w:rFonts w:cs="Times New Roman"/>
          <w:szCs w:val="24"/>
        </w:rPr>
        <w:t>kvaliteedi ja stabiilsuse hoidmiseks.</w:t>
      </w:r>
    </w:p>
    <w:p w14:paraId="13995FAE" w14:textId="77777777" w:rsidR="001C79E9" w:rsidRPr="00A74AEE" w:rsidRDefault="001C79E9" w:rsidP="00A74AEE">
      <w:pPr>
        <w:spacing w:before="0" w:after="0"/>
        <w:rPr>
          <w:rFonts w:cs="Times New Roman"/>
          <w:szCs w:val="24"/>
        </w:rPr>
      </w:pPr>
    </w:p>
    <w:p w14:paraId="13A15273" w14:textId="7CDBB41B" w:rsidR="00BB31FC" w:rsidRDefault="00BB31FC" w:rsidP="00A74AEE">
      <w:pPr>
        <w:spacing w:before="0" w:after="0"/>
        <w:rPr>
          <w:rFonts w:cs="Times New Roman"/>
          <w:kern w:val="2"/>
          <w:szCs w:val="24"/>
          <w14:ligatures w14:val="standardContextual"/>
        </w:rPr>
      </w:pPr>
      <w:r w:rsidRPr="00BB31FC">
        <w:rPr>
          <w:rFonts w:cs="Times New Roman"/>
          <w:kern w:val="2"/>
          <w:szCs w:val="24"/>
          <w14:ligatures w14:val="standardContextual"/>
        </w:rPr>
        <w:t>Lugupidamisega,</w:t>
      </w:r>
    </w:p>
    <w:p w14:paraId="55487D90" w14:textId="77777777" w:rsidR="00B711B6" w:rsidRPr="00BB31FC" w:rsidRDefault="00B711B6" w:rsidP="00A74AEE">
      <w:pPr>
        <w:spacing w:before="0" w:after="0"/>
        <w:rPr>
          <w:rFonts w:cs="Times New Roman"/>
          <w:kern w:val="2"/>
          <w:szCs w:val="24"/>
          <w14:ligatures w14:val="standardContextual"/>
        </w:rPr>
      </w:pPr>
    </w:p>
    <w:p w14:paraId="2EE4AF5D" w14:textId="5001E601" w:rsidR="00BB31FC" w:rsidRPr="00BB31FC" w:rsidRDefault="00BB31FC" w:rsidP="00A74AEE">
      <w:pPr>
        <w:spacing w:before="0" w:after="0"/>
        <w:rPr>
          <w:rFonts w:cs="Times New Roman"/>
          <w:kern w:val="2"/>
          <w:szCs w:val="24"/>
          <w14:ligatures w14:val="standardContextual"/>
        </w:rPr>
      </w:pPr>
      <w:r w:rsidRPr="00BB31FC">
        <w:rPr>
          <w:rFonts w:cs="Times New Roman"/>
          <w:b/>
          <w:bCs/>
          <w:kern w:val="2"/>
          <w:szCs w:val="24"/>
          <w14:ligatures w14:val="standardContextual"/>
        </w:rPr>
        <w:t xml:space="preserve">Harju Maakohtu </w:t>
      </w:r>
      <w:r w:rsidR="00B711B6">
        <w:rPr>
          <w:rFonts w:cs="Times New Roman"/>
          <w:b/>
          <w:bCs/>
          <w:kern w:val="2"/>
          <w:szCs w:val="24"/>
          <w14:ligatures w14:val="standardContextual"/>
        </w:rPr>
        <w:t>k</w:t>
      </w:r>
      <w:r w:rsidRPr="00BB31FC">
        <w:rPr>
          <w:rFonts w:cs="Times New Roman"/>
          <w:b/>
          <w:bCs/>
          <w:kern w:val="2"/>
          <w:szCs w:val="24"/>
          <w14:ligatures w14:val="standardContextual"/>
        </w:rPr>
        <w:t>ohtujuristid</w:t>
      </w:r>
    </w:p>
    <w:p w14:paraId="1628555C" w14:textId="2ED7158A" w:rsidR="00BB31FC" w:rsidRDefault="00BB31FC" w:rsidP="00BB31FC">
      <w:pPr>
        <w:spacing w:before="0" w:after="160" w:line="278" w:lineRule="auto"/>
        <w:rPr>
          <w:rFonts w:cs="Times New Roman"/>
          <w:i/>
          <w:iCs/>
          <w:kern w:val="2"/>
          <w:szCs w:val="24"/>
          <w14:ligatures w14:val="standardContextual"/>
        </w:rPr>
      </w:pPr>
      <w:r w:rsidRPr="00BB31FC">
        <w:rPr>
          <w:rFonts w:cs="Times New Roman"/>
          <w:i/>
          <w:iCs/>
          <w:kern w:val="2"/>
          <w:szCs w:val="24"/>
          <w14:ligatures w14:val="standardContextual"/>
        </w:rPr>
        <w:t>(</w:t>
      </w:r>
      <w:r w:rsidR="00B711B6" w:rsidRPr="00B711B6">
        <w:rPr>
          <w:rFonts w:cs="Times New Roman"/>
          <w:i/>
          <w:iCs/>
          <w:kern w:val="2"/>
          <w:szCs w:val="24"/>
          <w14:ligatures w14:val="standardContextual"/>
        </w:rPr>
        <w:t>a</w:t>
      </w:r>
      <w:r w:rsidRPr="00BB31FC">
        <w:rPr>
          <w:rFonts w:cs="Times New Roman"/>
          <w:i/>
          <w:iCs/>
          <w:kern w:val="2"/>
          <w:szCs w:val="24"/>
          <w14:ligatures w14:val="standardContextual"/>
        </w:rPr>
        <w:t>rvamust toetavad ka Harju Maakohtu kohtunikud)</w:t>
      </w:r>
    </w:p>
    <w:p w14:paraId="3E14E982" w14:textId="3DDC98FE" w:rsidR="00EF75E6" w:rsidRPr="00BB31FC" w:rsidRDefault="00EF75E6" w:rsidP="00BB31FC">
      <w:pPr>
        <w:spacing w:before="0" w:after="160" w:line="278" w:lineRule="auto"/>
        <w:rPr>
          <w:rFonts w:cs="Times New Roman"/>
          <w:i/>
          <w:iCs/>
          <w:kern w:val="2"/>
          <w:szCs w:val="24"/>
          <w14:ligatures w14:val="standardContextual"/>
        </w:rPr>
      </w:pPr>
      <w:r>
        <w:rPr>
          <w:rFonts w:cs="Times New Roman"/>
          <w:i/>
          <w:iCs/>
          <w:kern w:val="2"/>
          <w:szCs w:val="24"/>
          <w14:ligatures w14:val="standardContextual"/>
        </w:rPr>
        <w:t>Allkirjastatud Harju Maakohtu juhtivkohtujuristid</w:t>
      </w:r>
      <w:r w:rsidR="00AE15BA">
        <w:rPr>
          <w:rFonts w:cs="Times New Roman"/>
          <w:i/>
          <w:iCs/>
          <w:kern w:val="2"/>
          <w:szCs w:val="24"/>
          <w14:ligatures w14:val="standardContextual"/>
        </w:rPr>
        <w:t>e poolt</w:t>
      </w:r>
      <w:r>
        <w:rPr>
          <w:rFonts w:cs="Times New Roman"/>
          <w:i/>
          <w:iCs/>
          <w:kern w:val="2"/>
          <w:szCs w:val="24"/>
          <w14:ligatures w14:val="standardContextual"/>
        </w:rPr>
        <w:t xml:space="preserve"> </w:t>
      </w:r>
      <w:r w:rsidR="00AE15BA">
        <w:rPr>
          <w:rFonts w:cs="Times New Roman"/>
          <w:i/>
          <w:iCs/>
          <w:kern w:val="2"/>
          <w:szCs w:val="24"/>
          <w14:ligatures w14:val="standardContextual"/>
        </w:rPr>
        <w:t>kohtujuristide nimel</w:t>
      </w:r>
    </w:p>
    <w:p w14:paraId="01A0666A" w14:textId="77777777" w:rsidR="00255289" w:rsidRDefault="00255289"/>
    <w:sectPr w:rsidR="00255289" w:rsidSect="00A74AEE">
      <w:footerReference w:type="default" r:id="rId14"/>
      <w:pgSz w:w="11906" w:h="16838"/>
      <w:pgMar w:top="1134" w:right="1134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AA68D" w14:textId="77777777" w:rsidR="007401A9" w:rsidRDefault="007401A9" w:rsidP="00B02E6B">
      <w:pPr>
        <w:spacing w:before="0" w:after="0"/>
      </w:pPr>
      <w:r>
        <w:separator/>
      </w:r>
    </w:p>
  </w:endnote>
  <w:endnote w:type="continuationSeparator" w:id="0">
    <w:p w14:paraId="2DE5F037" w14:textId="77777777" w:rsidR="007401A9" w:rsidRDefault="007401A9" w:rsidP="00B02E6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821116"/>
      <w:docPartObj>
        <w:docPartGallery w:val="Page Numbers (Bottom of Page)"/>
        <w:docPartUnique/>
      </w:docPartObj>
    </w:sdtPr>
    <w:sdtContent>
      <w:p w14:paraId="147FDA46" w14:textId="77777777" w:rsidR="00B02E6B" w:rsidRDefault="00B02E6B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7E57784" w14:textId="77777777" w:rsidR="00B02E6B" w:rsidRDefault="00B02E6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265A5" w14:textId="77777777" w:rsidR="007401A9" w:rsidRDefault="007401A9" w:rsidP="00B02E6B">
      <w:pPr>
        <w:spacing w:before="0" w:after="0"/>
      </w:pPr>
      <w:r>
        <w:separator/>
      </w:r>
    </w:p>
  </w:footnote>
  <w:footnote w:type="continuationSeparator" w:id="0">
    <w:p w14:paraId="12F5AF27" w14:textId="77777777" w:rsidR="007401A9" w:rsidRDefault="007401A9" w:rsidP="00B02E6B">
      <w:pPr>
        <w:spacing w:before="0" w:after="0"/>
      </w:pPr>
      <w:r>
        <w:continuationSeparator/>
      </w:r>
    </w:p>
  </w:footnote>
  <w:footnote w:id="1">
    <w:p w14:paraId="37FF75F6" w14:textId="6640EA10" w:rsidR="00A13211" w:rsidRDefault="00A13211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 w:rsidRPr="00A13211">
        <w:t xml:space="preserve">Kohtute seaduse muutmise seadus 281 SE. – Kättesaadav arvutivõrgus: </w:t>
      </w:r>
      <w:hyperlink r:id="rId1" w:history="1">
        <w:r w:rsidRPr="00A13211">
          <w:rPr>
            <w:rStyle w:val="Hperlink"/>
          </w:rPr>
          <w:t>https://www.riigikogu.ee/tegevus/eelnoud/eelnou/1a60b79e-8f18-4a02-93b2-835df8a9a271/Kohtute%20sea-duse%20muutmise%20seadus</w:t>
        </w:r>
      </w:hyperlink>
      <w:r w:rsidRPr="00A13211">
        <w:t xml:space="preserve"> (</w:t>
      </w:r>
      <w:r>
        <w:t>03</w:t>
      </w:r>
      <w:r w:rsidRPr="00A13211">
        <w:t>.1</w:t>
      </w:r>
      <w:r>
        <w:t>1</w:t>
      </w:r>
      <w:r w:rsidRPr="00A13211">
        <w:t>.2025).</w:t>
      </w:r>
      <w:r>
        <w:t xml:space="preserve"> </w:t>
      </w:r>
    </w:p>
  </w:footnote>
  <w:footnote w:id="2">
    <w:p w14:paraId="4C044526" w14:textId="6C6370AE" w:rsidR="00593F7A" w:rsidRDefault="00593F7A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 w:rsidR="00A2249E" w:rsidRPr="00A2249E">
        <w:t>Tanel Saar. KSK § 1251, lk 380. – Priit Pikamäe jt. Kohtute seadus: kommenteeritud väljaanne. Tallinn: Juura 2018.</w:t>
      </w:r>
    </w:p>
  </w:footnote>
  <w:footnote w:id="3">
    <w:p w14:paraId="1C86192E" w14:textId="2C4B9C0F" w:rsidR="00A2249E" w:rsidRDefault="00A2249E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 w:rsidR="00503796" w:rsidRPr="00503796">
        <w:t xml:space="preserve">Samas, lk 383. Riigikohtu esimehe ettekanne kohtunike täiskogul 05.06.2025, lk 2. Arvutivõrgus kättesaadav: </w:t>
      </w:r>
      <w:hyperlink r:id="rId2" w:history="1">
        <w:r w:rsidR="00503796" w:rsidRPr="00503796">
          <w:rPr>
            <w:rStyle w:val="Hperlink"/>
          </w:rPr>
          <w:t>RKE_taiskogu_ettekanne_2025.pdf</w:t>
        </w:r>
      </w:hyperlink>
      <w:r w:rsidR="00503796" w:rsidRPr="00503796">
        <w:t>. Riigikohtu esimehe ettekanne kohtunike täiskogul 30.05.2024, lk 2. Arvutivõrgus kättesaadav:</w:t>
      </w:r>
      <w:r w:rsidR="003953A6">
        <w:t xml:space="preserve"> </w:t>
      </w:r>
      <w:hyperlink r:id="rId3" w:history="1">
        <w:r w:rsidR="00914AEB" w:rsidRPr="00914AEB">
          <w:rPr>
            <w:rStyle w:val="Hperlink"/>
          </w:rPr>
          <w:t>Riigikohtu_esimehe_ettekanne_2024_täiskogul.pdf</w:t>
        </w:r>
      </w:hyperlink>
      <w:r w:rsidR="00914AEB">
        <w:t xml:space="preserve">. </w:t>
      </w:r>
      <w:r w:rsidR="00503796" w:rsidRPr="00503796">
        <w:t xml:space="preserve">Vt ka Kohtute aastaraamat 2013, lk 7, 45–46. Arvutivõrgus kättesaadav: </w:t>
      </w:r>
      <w:hyperlink r:id="rId4" w:history="1">
        <w:r w:rsidR="00503796" w:rsidRPr="00DB39D8">
          <w:rPr>
            <w:rStyle w:val="Hperlink"/>
          </w:rPr>
          <w:t>kohtute-aastaraamat-2013.pdf</w:t>
        </w:r>
      </w:hyperlink>
      <w:r w:rsidR="00503796" w:rsidRPr="00503796">
        <w:t xml:space="preserve"> (</w:t>
      </w:r>
      <w:r w:rsidR="00DB39D8">
        <w:t>03</w:t>
      </w:r>
      <w:r w:rsidR="00503796" w:rsidRPr="00503796">
        <w:t>.1</w:t>
      </w:r>
      <w:r w:rsidR="00DB39D8">
        <w:t>1</w:t>
      </w:r>
      <w:r w:rsidR="00503796" w:rsidRPr="00503796">
        <w:t>.2025).</w:t>
      </w:r>
    </w:p>
  </w:footnote>
  <w:footnote w:id="4">
    <w:p w14:paraId="1DBBD59B" w14:textId="77777777" w:rsidR="001E73B0" w:rsidRDefault="001E73B0" w:rsidP="001E73B0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 w:rsidRPr="0072603F">
        <w:t>Kõrgemate riigiteenijate ametipalkade seaduse ja sellega seonduvalt teiste seaduste muutmise seadus</w:t>
      </w:r>
      <w:r>
        <w:t xml:space="preserve"> </w:t>
      </w:r>
      <w:r w:rsidRPr="00E26F09">
        <w:t>- Seletuskiri RT I, 28.12.2017, 1 - jõust. 01.01.2018</w:t>
      </w:r>
    </w:p>
  </w:footnote>
  <w:footnote w:id="5">
    <w:p w14:paraId="7A597DA5" w14:textId="2BDF0B07" w:rsidR="00964B5B" w:rsidRDefault="00964B5B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 w:rsidRPr="00964B5B">
        <w:t>Kohtusüsteemi struktuurimuudatuste finantsanalüüsi lõpphinnang</w:t>
      </w:r>
      <w:r>
        <w:t xml:space="preserve"> – Kättesaadav arvutivõrgus: </w:t>
      </w:r>
      <w:hyperlink r:id="rId5" w:history="1">
        <w:r w:rsidRPr="00964B5B">
          <w:rPr>
            <w:rStyle w:val="Hperlink"/>
          </w:rPr>
          <w:t>PwCA_Kohtusüsteemi struktuurimuudatuse finantsanalüüs_lõpparuanne.pdf</w:t>
        </w:r>
      </w:hyperlink>
    </w:p>
  </w:footnote>
  <w:footnote w:id="6">
    <w:p w14:paraId="7A72E475" w14:textId="37D32398" w:rsidR="00B21492" w:rsidRDefault="00B21492">
      <w:pPr>
        <w:pStyle w:val="Allmrkusetekst"/>
      </w:pPr>
      <w:r>
        <w:rPr>
          <w:rStyle w:val="Allmrkuseviide"/>
        </w:rPr>
        <w:footnoteRef/>
      </w:r>
      <w:r>
        <w:t xml:space="preserve"> Riigikohtu esimehe ettekanne Riigikogu 2025. a kevadistungjärgul 10.06.2025, lk 2. Arvutivõrgus kättesaadav: </w:t>
      </w:r>
      <w:hyperlink r:id="rId6" w:history="1">
        <w:r w:rsidRPr="00740E38">
          <w:rPr>
            <w:rStyle w:val="Hperlink"/>
          </w:rPr>
          <w:t>Riigikohtu esimehe ülevaade kohtukorralduse õigusemõistmise ja seaduste ühetaolise kohaldamise kohta_lõplik_2025.pdf</w:t>
        </w:r>
      </w:hyperlink>
      <w:r>
        <w:t>.(</w:t>
      </w:r>
      <w:r w:rsidR="007F1351">
        <w:t>03</w:t>
      </w:r>
      <w:r>
        <w:t>.1</w:t>
      </w:r>
      <w:r w:rsidR="007F1351">
        <w:t>1</w:t>
      </w:r>
      <w:r>
        <w:t>.2025)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47EDB"/>
    <w:multiLevelType w:val="hybridMultilevel"/>
    <w:tmpl w:val="3E8292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6578D"/>
    <w:multiLevelType w:val="hybridMultilevel"/>
    <w:tmpl w:val="B5A63CF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447824">
    <w:abstractNumId w:val="0"/>
  </w:num>
  <w:num w:numId="2" w16cid:durableId="337267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6B"/>
    <w:rsid w:val="000043CD"/>
    <w:rsid w:val="00036657"/>
    <w:rsid w:val="00050A6A"/>
    <w:rsid w:val="00051767"/>
    <w:rsid w:val="000822DE"/>
    <w:rsid w:val="000A416D"/>
    <w:rsid w:val="000F5D6C"/>
    <w:rsid w:val="000F6E83"/>
    <w:rsid w:val="00106506"/>
    <w:rsid w:val="00111B5A"/>
    <w:rsid w:val="00114083"/>
    <w:rsid w:val="00116A5F"/>
    <w:rsid w:val="0013019B"/>
    <w:rsid w:val="001453EE"/>
    <w:rsid w:val="00156A72"/>
    <w:rsid w:val="001877A0"/>
    <w:rsid w:val="00192A3F"/>
    <w:rsid w:val="00193EB8"/>
    <w:rsid w:val="00197A08"/>
    <w:rsid w:val="001A799D"/>
    <w:rsid w:val="001A7E84"/>
    <w:rsid w:val="001B5F71"/>
    <w:rsid w:val="001C6CC1"/>
    <w:rsid w:val="001C79E9"/>
    <w:rsid w:val="001D0BC9"/>
    <w:rsid w:val="001D4367"/>
    <w:rsid w:val="001E558A"/>
    <w:rsid w:val="001E73B0"/>
    <w:rsid w:val="001F26F2"/>
    <w:rsid w:val="001F3EC4"/>
    <w:rsid w:val="001F7E8A"/>
    <w:rsid w:val="00207ADD"/>
    <w:rsid w:val="002510A2"/>
    <w:rsid w:val="00251A88"/>
    <w:rsid w:val="00255289"/>
    <w:rsid w:val="0026617C"/>
    <w:rsid w:val="00273140"/>
    <w:rsid w:val="00276A98"/>
    <w:rsid w:val="00286A6E"/>
    <w:rsid w:val="00291272"/>
    <w:rsid w:val="002A2C93"/>
    <w:rsid w:val="002C00E1"/>
    <w:rsid w:val="002C1C60"/>
    <w:rsid w:val="002D6A3E"/>
    <w:rsid w:val="002E15BD"/>
    <w:rsid w:val="002E79B6"/>
    <w:rsid w:val="002F11B6"/>
    <w:rsid w:val="002F2969"/>
    <w:rsid w:val="002F2B4C"/>
    <w:rsid w:val="0030088F"/>
    <w:rsid w:val="003029DD"/>
    <w:rsid w:val="0031630A"/>
    <w:rsid w:val="00316B44"/>
    <w:rsid w:val="00324424"/>
    <w:rsid w:val="00343C02"/>
    <w:rsid w:val="0034566A"/>
    <w:rsid w:val="0036123B"/>
    <w:rsid w:val="0037039F"/>
    <w:rsid w:val="00373A83"/>
    <w:rsid w:val="0039176A"/>
    <w:rsid w:val="003953A6"/>
    <w:rsid w:val="003B1CE9"/>
    <w:rsid w:val="003C063C"/>
    <w:rsid w:val="003D67EE"/>
    <w:rsid w:val="003D7810"/>
    <w:rsid w:val="003E5CF6"/>
    <w:rsid w:val="003F0388"/>
    <w:rsid w:val="003F694B"/>
    <w:rsid w:val="00405FEF"/>
    <w:rsid w:val="004073FE"/>
    <w:rsid w:val="00416A53"/>
    <w:rsid w:val="00420505"/>
    <w:rsid w:val="0042249B"/>
    <w:rsid w:val="004558D8"/>
    <w:rsid w:val="00457775"/>
    <w:rsid w:val="004811A4"/>
    <w:rsid w:val="00496885"/>
    <w:rsid w:val="004B0FB7"/>
    <w:rsid w:val="004B5466"/>
    <w:rsid w:val="004B7EB7"/>
    <w:rsid w:val="004D2371"/>
    <w:rsid w:val="004E2ED6"/>
    <w:rsid w:val="004E6A74"/>
    <w:rsid w:val="004F4BF3"/>
    <w:rsid w:val="004F561A"/>
    <w:rsid w:val="00503796"/>
    <w:rsid w:val="00504576"/>
    <w:rsid w:val="005107F5"/>
    <w:rsid w:val="005170FB"/>
    <w:rsid w:val="00527201"/>
    <w:rsid w:val="00537FC3"/>
    <w:rsid w:val="005413BF"/>
    <w:rsid w:val="0054679B"/>
    <w:rsid w:val="00562679"/>
    <w:rsid w:val="005867DF"/>
    <w:rsid w:val="005928E2"/>
    <w:rsid w:val="00593E52"/>
    <w:rsid w:val="00593F7A"/>
    <w:rsid w:val="00597223"/>
    <w:rsid w:val="005A6D6D"/>
    <w:rsid w:val="005B705E"/>
    <w:rsid w:val="005C4473"/>
    <w:rsid w:val="005D216B"/>
    <w:rsid w:val="005D69A4"/>
    <w:rsid w:val="005E4747"/>
    <w:rsid w:val="005F3754"/>
    <w:rsid w:val="00626449"/>
    <w:rsid w:val="00627F9B"/>
    <w:rsid w:val="00627FD7"/>
    <w:rsid w:val="00631256"/>
    <w:rsid w:val="006358AC"/>
    <w:rsid w:val="00646D6A"/>
    <w:rsid w:val="00657F93"/>
    <w:rsid w:val="006664E6"/>
    <w:rsid w:val="006772DC"/>
    <w:rsid w:val="00680707"/>
    <w:rsid w:val="0069414A"/>
    <w:rsid w:val="006A6886"/>
    <w:rsid w:val="006C1EB4"/>
    <w:rsid w:val="006D2213"/>
    <w:rsid w:val="006D33FB"/>
    <w:rsid w:val="006E5EB5"/>
    <w:rsid w:val="006E6ED9"/>
    <w:rsid w:val="006F2D4D"/>
    <w:rsid w:val="006F629A"/>
    <w:rsid w:val="007040AA"/>
    <w:rsid w:val="00706791"/>
    <w:rsid w:val="007078BF"/>
    <w:rsid w:val="007107AF"/>
    <w:rsid w:val="00715A93"/>
    <w:rsid w:val="0072603F"/>
    <w:rsid w:val="0072610E"/>
    <w:rsid w:val="00731CDA"/>
    <w:rsid w:val="007401A9"/>
    <w:rsid w:val="00740E38"/>
    <w:rsid w:val="00740F7C"/>
    <w:rsid w:val="00744BBA"/>
    <w:rsid w:val="00745866"/>
    <w:rsid w:val="00752F1E"/>
    <w:rsid w:val="00783E16"/>
    <w:rsid w:val="00792FE9"/>
    <w:rsid w:val="007945AE"/>
    <w:rsid w:val="007A72D6"/>
    <w:rsid w:val="007B0CFD"/>
    <w:rsid w:val="007E4158"/>
    <w:rsid w:val="007E4EEE"/>
    <w:rsid w:val="007F06AF"/>
    <w:rsid w:val="007F1351"/>
    <w:rsid w:val="007F6538"/>
    <w:rsid w:val="0080438F"/>
    <w:rsid w:val="00811591"/>
    <w:rsid w:val="00814B83"/>
    <w:rsid w:val="00844A84"/>
    <w:rsid w:val="00845388"/>
    <w:rsid w:val="00850F07"/>
    <w:rsid w:val="008543C4"/>
    <w:rsid w:val="00855115"/>
    <w:rsid w:val="008610D9"/>
    <w:rsid w:val="00867C30"/>
    <w:rsid w:val="008801EB"/>
    <w:rsid w:val="00892960"/>
    <w:rsid w:val="00894D6D"/>
    <w:rsid w:val="008A1D0C"/>
    <w:rsid w:val="008A59C3"/>
    <w:rsid w:val="008C50F7"/>
    <w:rsid w:val="008D0139"/>
    <w:rsid w:val="008D58F1"/>
    <w:rsid w:val="008E1D86"/>
    <w:rsid w:val="008F2B77"/>
    <w:rsid w:val="008F36AD"/>
    <w:rsid w:val="008F39FE"/>
    <w:rsid w:val="0090154B"/>
    <w:rsid w:val="00914AEB"/>
    <w:rsid w:val="00923F06"/>
    <w:rsid w:val="00930F10"/>
    <w:rsid w:val="00941CF0"/>
    <w:rsid w:val="00947DB9"/>
    <w:rsid w:val="00964B5B"/>
    <w:rsid w:val="009657AD"/>
    <w:rsid w:val="00965D71"/>
    <w:rsid w:val="00966D57"/>
    <w:rsid w:val="009727CB"/>
    <w:rsid w:val="00980B0C"/>
    <w:rsid w:val="00983846"/>
    <w:rsid w:val="00990CEC"/>
    <w:rsid w:val="0099772B"/>
    <w:rsid w:val="009A3D01"/>
    <w:rsid w:val="009B6B62"/>
    <w:rsid w:val="009E3E3B"/>
    <w:rsid w:val="009F275C"/>
    <w:rsid w:val="00A008A2"/>
    <w:rsid w:val="00A05309"/>
    <w:rsid w:val="00A13211"/>
    <w:rsid w:val="00A2249E"/>
    <w:rsid w:val="00A31400"/>
    <w:rsid w:val="00A33900"/>
    <w:rsid w:val="00A35E1F"/>
    <w:rsid w:val="00A36AAC"/>
    <w:rsid w:val="00A47AA7"/>
    <w:rsid w:val="00A67651"/>
    <w:rsid w:val="00A70281"/>
    <w:rsid w:val="00A71FFA"/>
    <w:rsid w:val="00A74AEE"/>
    <w:rsid w:val="00A95C0D"/>
    <w:rsid w:val="00AA17EA"/>
    <w:rsid w:val="00AA374E"/>
    <w:rsid w:val="00AC41D7"/>
    <w:rsid w:val="00AD28A2"/>
    <w:rsid w:val="00AD4AD6"/>
    <w:rsid w:val="00AE1142"/>
    <w:rsid w:val="00AE15BA"/>
    <w:rsid w:val="00AE1D90"/>
    <w:rsid w:val="00AE4EB4"/>
    <w:rsid w:val="00AF10D4"/>
    <w:rsid w:val="00AF37B2"/>
    <w:rsid w:val="00AF4542"/>
    <w:rsid w:val="00AF74DF"/>
    <w:rsid w:val="00AF7DDD"/>
    <w:rsid w:val="00B02E6B"/>
    <w:rsid w:val="00B11F08"/>
    <w:rsid w:val="00B17E46"/>
    <w:rsid w:val="00B21492"/>
    <w:rsid w:val="00B2488D"/>
    <w:rsid w:val="00B34A27"/>
    <w:rsid w:val="00B361ED"/>
    <w:rsid w:val="00B40A13"/>
    <w:rsid w:val="00B415E9"/>
    <w:rsid w:val="00B65AD8"/>
    <w:rsid w:val="00B711B6"/>
    <w:rsid w:val="00B927F4"/>
    <w:rsid w:val="00B92B8F"/>
    <w:rsid w:val="00B959A8"/>
    <w:rsid w:val="00BA0C7C"/>
    <w:rsid w:val="00BA0FFF"/>
    <w:rsid w:val="00BA11E3"/>
    <w:rsid w:val="00BB31FC"/>
    <w:rsid w:val="00BB5460"/>
    <w:rsid w:val="00BC5646"/>
    <w:rsid w:val="00BC728C"/>
    <w:rsid w:val="00BD6531"/>
    <w:rsid w:val="00BE13C9"/>
    <w:rsid w:val="00C019A4"/>
    <w:rsid w:val="00C03242"/>
    <w:rsid w:val="00C05989"/>
    <w:rsid w:val="00C223DA"/>
    <w:rsid w:val="00C24956"/>
    <w:rsid w:val="00C25156"/>
    <w:rsid w:val="00C267DC"/>
    <w:rsid w:val="00C277F2"/>
    <w:rsid w:val="00C317C9"/>
    <w:rsid w:val="00C36A28"/>
    <w:rsid w:val="00C411E7"/>
    <w:rsid w:val="00C472A4"/>
    <w:rsid w:val="00C47400"/>
    <w:rsid w:val="00C552B0"/>
    <w:rsid w:val="00C6360A"/>
    <w:rsid w:val="00C64098"/>
    <w:rsid w:val="00C64A02"/>
    <w:rsid w:val="00C708FF"/>
    <w:rsid w:val="00C915DB"/>
    <w:rsid w:val="00CA29F0"/>
    <w:rsid w:val="00CB1D71"/>
    <w:rsid w:val="00CB3FEA"/>
    <w:rsid w:val="00CC1546"/>
    <w:rsid w:val="00CD0BFB"/>
    <w:rsid w:val="00CE1131"/>
    <w:rsid w:val="00CE1315"/>
    <w:rsid w:val="00CE2B23"/>
    <w:rsid w:val="00CE3D11"/>
    <w:rsid w:val="00CF15BD"/>
    <w:rsid w:val="00CF2228"/>
    <w:rsid w:val="00D03B95"/>
    <w:rsid w:val="00D05FE8"/>
    <w:rsid w:val="00D11556"/>
    <w:rsid w:val="00D213DF"/>
    <w:rsid w:val="00D569DA"/>
    <w:rsid w:val="00D65880"/>
    <w:rsid w:val="00D74089"/>
    <w:rsid w:val="00D81ECC"/>
    <w:rsid w:val="00DA1D01"/>
    <w:rsid w:val="00DB39D8"/>
    <w:rsid w:val="00DB3A73"/>
    <w:rsid w:val="00DC63C6"/>
    <w:rsid w:val="00DE28EA"/>
    <w:rsid w:val="00DF6510"/>
    <w:rsid w:val="00E019CB"/>
    <w:rsid w:val="00E071BE"/>
    <w:rsid w:val="00E116F3"/>
    <w:rsid w:val="00E16B63"/>
    <w:rsid w:val="00E24BF1"/>
    <w:rsid w:val="00E26F09"/>
    <w:rsid w:val="00E35D7A"/>
    <w:rsid w:val="00E37EE4"/>
    <w:rsid w:val="00E42C1C"/>
    <w:rsid w:val="00E47968"/>
    <w:rsid w:val="00E6324D"/>
    <w:rsid w:val="00E70D7F"/>
    <w:rsid w:val="00E9266C"/>
    <w:rsid w:val="00E94782"/>
    <w:rsid w:val="00E95D53"/>
    <w:rsid w:val="00EA5746"/>
    <w:rsid w:val="00EB2EA0"/>
    <w:rsid w:val="00EB6724"/>
    <w:rsid w:val="00EC023A"/>
    <w:rsid w:val="00EC32D8"/>
    <w:rsid w:val="00EC5BC6"/>
    <w:rsid w:val="00EE1CBA"/>
    <w:rsid w:val="00EE3954"/>
    <w:rsid w:val="00EE49D9"/>
    <w:rsid w:val="00EE5475"/>
    <w:rsid w:val="00EE666B"/>
    <w:rsid w:val="00EF59CA"/>
    <w:rsid w:val="00EF75E6"/>
    <w:rsid w:val="00F002AA"/>
    <w:rsid w:val="00F02763"/>
    <w:rsid w:val="00F11E10"/>
    <w:rsid w:val="00F14CDF"/>
    <w:rsid w:val="00F24ACB"/>
    <w:rsid w:val="00F31772"/>
    <w:rsid w:val="00F31844"/>
    <w:rsid w:val="00F331A0"/>
    <w:rsid w:val="00F33CD7"/>
    <w:rsid w:val="00F41E71"/>
    <w:rsid w:val="00F53C45"/>
    <w:rsid w:val="00F618D1"/>
    <w:rsid w:val="00F738D2"/>
    <w:rsid w:val="00F760AF"/>
    <w:rsid w:val="00F83BEC"/>
    <w:rsid w:val="00F87B94"/>
    <w:rsid w:val="00F92523"/>
    <w:rsid w:val="00F971E8"/>
    <w:rsid w:val="00FA37F6"/>
    <w:rsid w:val="00FC4BE0"/>
    <w:rsid w:val="023EA425"/>
    <w:rsid w:val="029C992E"/>
    <w:rsid w:val="07C1B667"/>
    <w:rsid w:val="080587FA"/>
    <w:rsid w:val="081863AF"/>
    <w:rsid w:val="0A3CA631"/>
    <w:rsid w:val="0C6C81CF"/>
    <w:rsid w:val="0E9CF61D"/>
    <w:rsid w:val="11260D72"/>
    <w:rsid w:val="1312F5EB"/>
    <w:rsid w:val="16723FAA"/>
    <w:rsid w:val="175DF64E"/>
    <w:rsid w:val="1885D5CE"/>
    <w:rsid w:val="1937D289"/>
    <w:rsid w:val="1F111C94"/>
    <w:rsid w:val="2790B5BB"/>
    <w:rsid w:val="30BEB71D"/>
    <w:rsid w:val="320147C2"/>
    <w:rsid w:val="3413532D"/>
    <w:rsid w:val="35E587A9"/>
    <w:rsid w:val="37D1F57D"/>
    <w:rsid w:val="37F28AD5"/>
    <w:rsid w:val="38B06136"/>
    <w:rsid w:val="3982ED46"/>
    <w:rsid w:val="3A221B61"/>
    <w:rsid w:val="3AE2BD1E"/>
    <w:rsid w:val="3B2AF572"/>
    <w:rsid w:val="3D15D317"/>
    <w:rsid w:val="3E306AB3"/>
    <w:rsid w:val="3F898306"/>
    <w:rsid w:val="4023DD9D"/>
    <w:rsid w:val="43589673"/>
    <w:rsid w:val="4A05BDFB"/>
    <w:rsid w:val="50885E9A"/>
    <w:rsid w:val="52467CE6"/>
    <w:rsid w:val="56E0D660"/>
    <w:rsid w:val="5AAA5F1A"/>
    <w:rsid w:val="5D44E1B5"/>
    <w:rsid w:val="5FD8AAB2"/>
    <w:rsid w:val="5FEF6BB7"/>
    <w:rsid w:val="60BF55F3"/>
    <w:rsid w:val="61D67C29"/>
    <w:rsid w:val="630AA138"/>
    <w:rsid w:val="67237846"/>
    <w:rsid w:val="6BE3814F"/>
    <w:rsid w:val="6E96F876"/>
    <w:rsid w:val="6F3AB688"/>
    <w:rsid w:val="782C1525"/>
    <w:rsid w:val="78A1CFEA"/>
    <w:rsid w:val="7C0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00F86"/>
  <w15:chartTrackingRefBased/>
  <w15:docId w15:val="{44369670-21D2-4734-9E7A-63E9C368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02E6B"/>
    <w:pPr>
      <w:spacing w:before="120" w:after="120" w:line="24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02E6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02E6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02E6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02E6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02E6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02E6B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02E6B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02E6B"/>
    <w:pPr>
      <w:keepNext/>
      <w:keepLines/>
      <w:spacing w:before="0"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02E6B"/>
    <w:pPr>
      <w:keepNext/>
      <w:keepLines/>
      <w:spacing w:before="0"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02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02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02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02E6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02E6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02E6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02E6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02E6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02E6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02E6B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B02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02E6B"/>
    <w:pPr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B02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02E6B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B02E6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02E6B"/>
    <w:pPr>
      <w:spacing w:before="0" w:after="160" w:line="278" w:lineRule="auto"/>
      <w:ind w:left="720"/>
      <w:contextualSpacing/>
      <w:jc w:val="left"/>
    </w:pPr>
    <w:rPr>
      <w:rFonts w:asciiTheme="minorHAnsi" w:hAnsiTheme="minorHAnsi"/>
      <w:kern w:val="2"/>
      <w:szCs w:val="24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B02E6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02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02E6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02E6B"/>
    <w:rPr>
      <w:b/>
      <w:bCs/>
      <w:smallCaps/>
      <w:color w:val="0F4761" w:themeColor="accent1" w:themeShade="BF"/>
      <w:spacing w:val="5"/>
    </w:rPr>
  </w:style>
  <w:style w:type="paragraph" w:styleId="Jalus">
    <w:name w:val="footer"/>
    <w:basedOn w:val="Normaallaad"/>
    <w:link w:val="JalusMrk"/>
    <w:uiPriority w:val="99"/>
    <w:unhideWhenUsed/>
    <w:rsid w:val="00B02E6B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B02E6B"/>
    <w:rPr>
      <w:rFonts w:ascii="Times New Roman" w:hAnsi="Times New Roman"/>
      <w:kern w:val="0"/>
      <w:szCs w:val="22"/>
      <w14:ligatures w14:val="none"/>
    </w:rPr>
  </w:style>
  <w:style w:type="character" w:styleId="Hperlink">
    <w:name w:val="Hyperlink"/>
    <w:basedOn w:val="Liguvaikefont"/>
    <w:uiPriority w:val="99"/>
    <w:unhideWhenUsed/>
    <w:rsid w:val="00B02E6B"/>
    <w:rPr>
      <w:color w:val="467886" w:themeColor="hyperlink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B02E6B"/>
    <w:pPr>
      <w:spacing w:before="0" w:after="0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B02E6B"/>
    <w:rPr>
      <w:rFonts w:ascii="Times New Roman" w:hAnsi="Times New Roman"/>
      <w:kern w:val="0"/>
      <w:sz w:val="20"/>
      <w:szCs w:val="20"/>
      <w14:ligatures w14:val="none"/>
    </w:rPr>
  </w:style>
  <w:style w:type="character" w:styleId="Allmrkuseviide">
    <w:name w:val="footnote reference"/>
    <w:basedOn w:val="Liguvaikefont"/>
    <w:uiPriority w:val="99"/>
    <w:semiHidden/>
    <w:unhideWhenUsed/>
    <w:rsid w:val="00B02E6B"/>
    <w:rPr>
      <w:vertAlign w:val="superscript"/>
    </w:rPr>
  </w:style>
  <w:style w:type="paragraph" w:styleId="Vahedeta">
    <w:name w:val="No Spacing"/>
    <w:uiPriority w:val="1"/>
    <w:qFormat/>
    <w:rsid w:val="00B02E6B"/>
    <w:pPr>
      <w:spacing w:after="0" w:line="240" w:lineRule="auto"/>
    </w:pPr>
  </w:style>
  <w:style w:type="paragraph" w:styleId="Redaktsioon">
    <w:name w:val="Revision"/>
    <w:hidden/>
    <w:uiPriority w:val="99"/>
    <w:semiHidden/>
    <w:rsid w:val="00923F06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character" w:styleId="Klastatudhperlink">
    <w:name w:val="FollowedHyperlink"/>
    <w:basedOn w:val="Liguvaikefont"/>
    <w:uiPriority w:val="99"/>
    <w:semiHidden/>
    <w:unhideWhenUsed/>
    <w:rsid w:val="001F3EC4"/>
    <w:rPr>
      <w:color w:val="96607D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F3EC4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semiHidden/>
    <w:unhideWhenUsed/>
    <w:rsid w:val="00855115"/>
    <w:pPr>
      <w:tabs>
        <w:tab w:val="center" w:pos="4536"/>
        <w:tab w:val="right" w:pos="9072"/>
      </w:tabs>
      <w:spacing w:before="0" w:after="0"/>
    </w:pPr>
  </w:style>
  <w:style w:type="character" w:customStyle="1" w:styleId="PisMrk">
    <w:name w:val="Päis Märk"/>
    <w:basedOn w:val="Liguvaikefont"/>
    <w:link w:val="Pis"/>
    <w:uiPriority w:val="99"/>
    <w:semiHidden/>
    <w:rsid w:val="00855115"/>
    <w:rPr>
      <w:rFonts w:ascii="Times New Roman" w:hAnsi="Times New Roman"/>
      <w:kern w:val="0"/>
      <w:szCs w:val="22"/>
      <w14:ligatures w14:val="none"/>
    </w:rPr>
  </w:style>
  <w:style w:type="paragraph" w:styleId="Normaallaadveeb">
    <w:name w:val="Normal (Web)"/>
    <w:basedOn w:val="Normaallaad"/>
    <w:uiPriority w:val="99"/>
    <w:unhideWhenUsed/>
    <w:rsid w:val="00AE4EB4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iigiteataja.ee/akt/ha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iigiteataja.ee/akt/11403202502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just.e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iigikohus.ee/sites/default/files/1.%20Uudised/2024/T%C3%A4iskogu/Riigikohtu_esimehe_ettekanne_2024_t%C3%A4iskogul.pdf" TargetMode="External"/><Relationship Id="rId2" Type="http://schemas.openxmlformats.org/officeDocument/2006/relationships/hyperlink" Target="https://www.riigikohus.ee/sites/default/files/elfinder/dokumendid/T%C3%A4iskogu/RKE_taiskogu_ettekanne_2025.pdf" TargetMode="External"/><Relationship Id="rId1" Type="http://schemas.openxmlformats.org/officeDocument/2006/relationships/hyperlink" Target="https://www.riigikogu.ee/tegevus/eelnoud/eelnou/1a60b79e-8f18-4a02-93b2-835df8a9a271/Kohtute%20sea-duse%20muutmise%20seadus%20" TargetMode="External"/><Relationship Id="rId6" Type="http://schemas.openxmlformats.org/officeDocument/2006/relationships/hyperlink" Target="https://www.riigikohus.ee/sites/default/files/elfinder/%C3%B5igusalased%20materjalid/RK%20esimehe%20%C3%BClevaade%20Riigikogus%20%202018/Riigikohtu%20esimehe%20%C3%BClevaade%20kohtukorralduse%20%C3%B5igusem%C3%B5istmise%20ja%20seaduste%20%C3%BChetaolise%20kohaldamise%20kohta_l%C3%B5plik_2025.pdf" TargetMode="External"/><Relationship Id="rId5" Type="http://schemas.openxmlformats.org/officeDocument/2006/relationships/hyperlink" Target="https://www.justdigi.ee/sites/default/files/documents/2025-06/PwCA_Kohtus%C3%BCsteemi%20struktuurimuudatuse%20finantsanal%C3%BC%C3%BCs_l%C3%B5pparuanne.pdf" TargetMode="External"/><Relationship Id="rId4" Type="http://schemas.openxmlformats.org/officeDocument/2006/relationships/hyperlink" Target="https://aastaraamat.riigikohus.ee/wp-content/uploads/2020/04/kohtute-aastaraamat-2013.pdf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E6FB6438291F42AC300C2AC95F3ACD" ma:contentTypeVersion="0" ma:contentTypeDescription="Loo uus dokument" ma:contentTypeScope="" ma:versionID="51667448aa0810eeef8567c88d7334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844fa85ccfb3aec0b978052649a49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7FAA1B-8132-494E-9B26-A40340898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2791A6-3CEE-4482-AA23-7588372CD6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7A41AD-4C3A-4EEA-9503-73FC60D7F7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5433DD-A1E0-45E5-8581-6BEBBF86E2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1608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10914</CharactersWithSpaces>
  <SharedDoc>false</SharedDoc>
  <HLinks>
    <vt:vector size="54" baseType="variant">
      <vt:variant>
        <vt:i4>262223</vt:i4>
      </vt:variant>
      <vt:variant>
        <vt:i4>6</vt:i4>
      </vt:variant>
      <vt:variant>
        <vt:i4>0</vt:i4>
      </vt:variant>
      <vt:variant>
        <vt:i4>5</vt:i4>
      </vt:variant>
      <vt:variant>
        <vt:lpwstr>https://www.riigiteataja.ee/akt/has</vt:lpwstr>
      </vt:variant>
      <vt:variant>
        <vt:lpwstr>para28</vt:lpwstr>
      </vt:variant>
      <vt:variant>
        <vt:i4>7274528</vt:i4>
      </vt:variant>
      <vt:variant>
        <vt:i4>3</vt:i4>
      </vt:variant>
      <vt:variant>
        <vt:i4>0</vt:i4>
      </vt:variant>
      <vt:variant>
        <vt:i4>5</vt:i4>
      </vt:variant>
      <vt:variant>
        <vt:lpwstr>https://www.riigiteataja.ee/akt/114032025024</vt:lpwstr>
      </vt:variant>
      <vt:variant>
        <vt:lpwstr>para47</vt:lpwstr>
      </vt:variant>
      <vt:variant>
        <vt:i4>4784252</vt:i4>
      </vt:variant>
      <vt:variant>
        <vt:i4>0</vt:i4>
      </vt:variant>
      <vt:variant>
        <vt:i4>0</vt:i4>
      </vt:variant>
      <vt:variant>
        <vt:i4>5</vt:i4>
      </vt:variant>
      <vt:variant>
        <vt:lpwstr>mailto:info@just.ee</vt:lpwstr>
      </vt:variant>
      <vt:variant>
        <vt:lpwstr/>
      </vt:variant>
      <vt:variant>
        <vt:i4>1638459</vt:i4>
      </vt:variant>
      <vt:variant>
        <vt:i4>15</vt:i4>
      </vt:variant>
      <vt:variant>
        <vt:i4>0</vt:i4>
      </vt:variant>
      <vt:variant>
        <vt:i4>5</vt:i4>
      </vt:variant>
      <vt:variant>
        <vt:lpwstr>https://www.riigikohus.ee/sites/default/files/elfinder/%C3%B5igusalased materjalid/RK esimehe %C3%BClevaade Riigikogus  2018/Riigikohtu esimehe %C3%BClevaade kohtukorralduse %C3%B5igusem%C3%B5istmise ja seaduste %C3%BChetaolise kohaldamise kohta_l%C3%B5plik_2025.pdf</vt:lpwstr>
      </vt:variant>
      <vt:variant>
        <vt:lpwstr/>
      </vt:variant>
      <vt:variant>
        <vt:i4>3997741</vt:i4>
      </vt:variant>
      <vt:variant>
        <vt:i4>12</vt:i4>
      </vt:variant>
      <vt:variant>
        <vt:i4>0</vt:i4>
      </vt:variant>
      <vt:variant>
        <vt:i4>5</vt:i4>
      </vt:variant>
      <vt:variant>
        <vt:lpwstr>https://www.justdigi.ee/sites/default/files/documents/2025-06/PwCA_Kohtus%C3%BCsteemi struktuurimuudatuse finantsanal%C3%BC%C3%BCs_l%C3%B5pparuanne.pdf</vt:lpwstr>
      </vt:variant>
      <vt:variant>
        <vt:lpwstr/>
      </vt:variant>
      <vt:variant>
        <vt:i4>4259928</vt:i4>
      </vt:variant>
      <vt:variant>
        <vt:i4>9</vt:i4>
      </vt:variant>
      <vt:variant>
        <vt:i4>0</vt:i4>
      </vt:variant>
      <vt:variant>
        <vt:i4>5</vt:i4>
      </vt:variant>
      <vt:variant>
        <vt:lpwstr>https://aastaraamat.riigikohus.ee/wp-content/uploads/2020/04/kohtute-aastaraamat-2013.pdf</vt:lpwstr>
      </vt:variant>
      <vt:variant>
        <vt:lpwstr/>
      </vt:variant>
      <vt:variant>
        <vt:i4>3342398</vt:i4>
      </vt:variant>
      <vt:variant>
        <vt:i4>6</vt:i4>
      </vt:variant>
      <vt:variant>
        <vt:i4>0</vt:i4>
      </vt:variant>
      <vt:variant>
        <vt:i4>5</vt:i4>
      </vt:variant>
      <vt:variant>
        <vt:lpwstr>https://www.riigikohus.ee/sites/default/files/1. Uudised/2024/T%C3%A4iskogu/Riigikohtu_esimehe_ettekanne_2024_t%C3%A4iskogul.pdf</vt:lpwstr>
      </vt:variant>
      <vt:variant>
        <vt:lpwstr/>
      </vt:variant>
      <vt:variant>
        <vt:i4>5767223</vt:i4>
      </vt:variant>
      <vt:variant>
        <vt:i4>3</vt:i4>
      </vt:variant>
      <vt:variant>
        <vt:i4>0</vt:i4>
      </vt:variant>
      <vt:variant>
        <vt:i4>5</vt:i4>
      </vt:variant>
      <vt:variant>
        <vt:lpwstr>https://www.riigikohus.ee/sites/default/files/elfinder/dokumendid/T%C3%A4iskogu/RKE_taiskogu_ettekanne_2025.pdf</vt:lpwstr>
      </vt:variant>
      <vt:variant>
        <vt:lpwstr/>
      </vt:variant>
      <vt:variant>
        <vt:i4>5701715</vt:i4>
      </vt:variant>
      <vt:variant>
        <vt:i4>0</vt:i4>
      </vt:variant>
      <vt:variant>
        <vt:i4>0</vt:i4>
      </vt:variant>
      <vt:variant>
        <vt:i4>5</vt:i4>
      </vt:variant>
      <vt:variant>
        <vt:lpwstr>https://www.riigikogu.ee/tegevus/eelnoud/eelnou/1a60b79e-8f18-4a02-93b2-835df8a9a271/Kohtute sea-duse muutmise seadus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Ailen Kalda</dc:creator>
  <cp:keywords/>
  <dc:description/>
  <cp:lastModifiedBy>Triin Pilberg - HMK</cp:lastModifiedBy>
  <cp:revision>34</cp:revision>
  <dcterms:created xsi:type="dcterms:W3CDTF">2025-11-05T00:29:00Z</dcterms:created>
  <dcterms:modified xsi:type="dcterms:W3CDTF">2025-11-05T13:56:00Z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2025-10-28T19:27:33Z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c9d8114d-a163-4bb3-96ae-a05fe8985ce7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0x0101004BE6FB6438291F42AC300C2AC95F3ACD</vt:lpwstr>
  </property>
</Properties>
</file>